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7B1" w:rsidRDefault="008527B1" w:rsidP="004F6B5E">
      <w:pPr>
        <w:spacing w:after="200"/>
        <w:jc w:val="both"/>
        <w:rPr>
          <w:rFonts w:asciiTheme="minorHAnsi" w:hAnsiTheme="minorHAnsi" w:cstheme="minorHAnsi"/>
          <w:sz w:val="22"/>
          <w:szCs w:val="22"/>
          <w:lang w:val="sk-SK" w:eastAsia="sk-SK"/>
        </w:rPr>
      </w:pPr>
    </w:p>
    <w:p w:rsidR="004F6B5E" w:rsidRPr="004F6B5E" w:rsidRDefault="004F6B5E" w:rsidP="004F6B5E">
      <w:pPr>
        <w:spacing w:after="200"/>
        <w:jc w:val="both"/>
        <w:rPr>
          <w:rFonts w:asciiTheme="minorHAnsi" w:hAnsiTheme="minorHAnsi" w:cstheme="minorHAnsi"/>
          <w:b/>
          <w:caps/>
          <w:sz w:val="22"/>
          <w:szCs w:val="22"/>
          <w:lang w:val="sk-SK"/>
        </w:rPr>
      </w:pPr>
      <w:r w:rsidRPr="004F6B5E">
        <w:rPr>
          <w:rFonts w:asciiTheme="minorHAnsi" w:hAnsiTheme="minorHAnsi" w:cstheme="minorHAnsi"/>
          <w:b/>
          <w:caps/>
          <w:sz w:val="22"/>
          <w:szCs w:val="22"/>
          <w:lang w:val="sk-SK"/>
        </w:rPr>
        <w:t xml:space="preserve">NoVINKY V právnej úprave LIKVIDÁCIe – účinné od 1. októbra 2020 </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Predmetom tohto príspevku je stručné zhrnutie zmien v právnej úprave likvidácie obchodných spoločností, ktoré boli zavedené ostatnou novelou obchodného zákonníka, zákonom č. 390/2019 Z. z. (ďalej len "</w:t>
      </w:r>
      <w:r w:rsidRPr="004F6B5E">
        <w:rPr>
          <w:rFonts w:asciiTheme="minorHAnsi" w:hAnsiTheme="minorHAnsi" w:cstheme="minorHAnsi"/>
          <w:b/>
          <w:sz w:val="22"/>
          <w:szCs w:val="22"/>
          <w:lang w:val="sk-SK"/>
        </w:rPr>
        <w:t>Novela</w:t>
      </w:r>
      <w:r w:rsidRPr="004F6B5E">
        <w:rPr>
          <w:rFonts w:asciiTheme="minorHAnsi" w:hAnsiTheme="minorHAnsi" w:cstheme="minorHAnsi"/>
          <w:sz w:val="22"/>
          <w:szCs w:val="22"/>
          <w:lang w:val="sk-SK"/>
        </w:rPr>
        <w:t>").</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Zmeny sú účinné od 1.10.2020. Viac či menej sa dotýkajú takmer všetkých aspektov a štádií procesu likvidácie spoločností. Taktiež zavádzajú celkom nové inštitúty, ako napríklad povinnosť zloženia preddavku na likvidáciu, či vyhotovovanie likvidátorom zoznamu pohľadávok a zoznamu majetku a ich ukladanie v zbierke listín.</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Podľa dôvodovej správy, účelom Novely je primárne vytvoriť opatrenia za účelom zefektívnenia procesu likvidácie. Novela odráža niektoré prvky konkurznej legislatívy, vzhľadom na to, že likvidácia smeruje k podobným výsledkom ako konkurz (uspokojenie veriteľov a reziduálnych spoločníkov). Takisto poskytuje ochranu záujmu likvidátora na uspokojení minimálnych nákladov vynaložených za účelom šetrenia majetkových pomerov likvidovanej spoločnosti.</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Posun momentu vstupu spoločnosti do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Kým do účinnosti Novely je rozhodujúcim okamihom, kedy spoločnosť vstupuje do likvidácie, moment zrušenia spoločnosti, od účinnosti Novely je týmto momentom zápis likvidátora do obchodného registra. Zápis likvidátora do obchodného registra má konštitutívny účinok.</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Návrh na zápis likvidátora do obchodného registra podáva (rovnako ako do účinnosti Novely) likvidátor ustanovený spoločníkmi alebo príslušným orgánom spoločnosti. Ak je likvidátor ustanovený súdom, registrový súd ho zapíše do obchodného registra aj bez návrhu.</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bCs/>
          <w:sz w:val="22"/>
          <w:szCs w:val="22"/>
          <w:lang w:val="sk-SK"/>
        </w:rPr>
      </w:pPr>
      <w:r w:rsidRPr="004F6B5E">
        <w:rPr>
          <w:rFonts w:asciiTheme="minorHAnsi" w:hAnsiTheme="minorHAnsi" w:cstheme="minorHAnsi"/>
          <w:b/>
          <w:bCs/>
          <w:sz w:val="22"/>
          <w:szCs w:val="22"/>
          <w:lang w:val="sk-SK"/>
        </w:rPr>
        <w:t>Obdobie medzi zrušením spoločnosti a vstupom do likvidácie</w:t>
      </w:r>
    </w:p>
    <w:p w:rsidR="004F6B5E" w:rsidRPr="004F6B5E" w:rsidRDefault="004F6B5E" w:rsidP="004F6B5E">
      <w:pPr>
        <w:pStyle w:val="Odsekzoznamu"/>
        <w:spacing w:after="200"/>
        <w:ind w:left="0"/>
        <w:contextualSpacing w:val="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čase od zrušenia spoločnosti do jej vstupu do likvidácie (zápisu likvidátora do obchodného registra) sa spoločnosť považuje za spoločnosť v kríze.</w:t>
      </w:r>
    </w:p>
    <w:p w:rsidR="004F6B5E" w:rsidRPr="004F6B5E" w:rsidRDefault="004F6B5E" w:rsidP="004F6B5E">
      <w:pPr>
        <w:spacing w:after="200"/>
        <w:jc w:val="both"/>
        <w:rPr>
          <w:rFonts w:asciiTheme="minorHAnsi" w:hAnsiTheme="minorHAnsi" w:cstheme="minorHAnsi"/>
          <w:sz w:val="22"/>
          <w:szCs w:val="22"/>
          <w:lang w:val="sk-SK"/>
        </w:rPr>
      </w:pPr>
      <w:proofErr w:type="spellStart"/>
      <w:r w:rsidRPr="004F6B5E">
        <w:rPr>
          <w:rFonts w:asciiTheme="minorHAnsi" w:hAnsiTheme="minorHAnsi" w:cstheme="minorHAnsi"/>
          <w:sz w:val="22"/>
          <w:szCs w:val="22"/>
          <w:lang w:val="sk-SK"/>
        </w:rPr>
        <w:t>Naviac</w:t>
      </w:r>
      <w:proofErr w:type="spellEnd"/>
      <w:r w:rsidRPr="004F6B5E">
        <w:rPr>
          <w:rFonts w:asciiTheme="minorHAnsi" w:hAnsiTheme="minorHAnsi" w:cstheme="minorHAnsi"/>
          <w:sz w:val="22"/>
          <w:szCs w:val="22"/>
          <w:lang w:val="sk-SK"/>
        </w:rPr>
        <w:t>, v záujme navodenia "</w:t>
      </w:r>
      <w:proofErr w:type="spellStart"/>
      <w:r w:rsidRPr="004F6B5E">
        <w:rPr>
          <w:rFonts w:asciiTheme="minorHAnsi" w:hAnsiTheme="minorHAnsi" w:cstheme="minorHAnsi"/>
          <w:sz w:val="22"/>
          <w:szCs w:val="22"/>
          <w:lang w:val="sk-SK"/>
        </w:rPr>
        <w:t>stand</w:t>
      </w:r>
      <w:proofErr w:type="spellEnd"/>
      <w:r w:rsidRPr="004F6B5E">
        <w:rPr>
          <w:rFonts w:asciiTheme="minorHAnsi" w:hAnsiTheme="minorHAnsi" w:cstheme="minorHAnsi"/>
          <w:sz w:val="22"/>
          <w:szCs w:val="22"/>
          <w:lang w:val="sk-SK"/>
        </w:rPr>
        <w:t xml:space="preserve"> </w:t>
      </w:r>
      <w:proofErr w:type="spellStart"/>
      <w:r w:rsidRPr="004F6B5E">
        <w:rPr>
          <w:rFonts w:asciiTheme="minorHAnsi" w:hAnsiTheme="minorHAnsi" w:cstheme="minorHAnsi"/>
          <w:sz w:val="22"/>
          <w:szCs w:val="22"/>
          <w:lang w:val="sk-SK"/>
        </w:rPr>
        <w:t>still</w:t>
      </w:r>
      <w:proofErr w:type="spellEnd"/>
      <w:r w:rsidRPr="004F6B5E">
        <w:rPr>
          <w:rFonts w:asciiTheme="minorHAnsi" w:hAnsiTheme="minorHAnsi" w:cstheme="minorHAnsi"/>
          <w:sz w:val="22"/>
          <w:szCs w:val="22"/>
          <w:lang w:val="sk-SK"/>
        </w:rPr>
        <w:t xml:space="preserve">" režimu v tomto medziobdobí, sa vyžaduje, pri nakladaní s majetkom spoločnosti, ktorého hodnota presahuje 10% hodnoty základného imania, ocenenie takého majetku znaleckým posudkom a schválenie takého nakladania najvyšším orgánom spoločnosti. To všetko bez ohľadu na to, či pôjde o transakciu medzi spriaznenými osobami alebo medzi cudzími osobami. Znalecký posudok a právny úkon sa po novom povinne ukladajú do zbierky listín. Splnenie tejto povinnosti je podmienkou účinnosti daného právneho úkonu. Ak je na účinnosť právneho úkonu potrebný </w:t>
      </w:r>
      <w:proofErr w:type="spellStart"/>
      <w:r w:rsidRPr="004F6B5E">
        <w:rPr>
          <w:rFonts w:asciiTheme="minorHAnsi" w:hAnsiTheme="minorHAnsi" w:cstheme="minorHAnsi"/>
          <w:sz w:val="22"/>
          <w:szCs w:val="22"/>
          <w:lang w:val="sk-SK"/>
        </w:rPr>
        <w:t>naviac</w:t>
      </w:r>
      <w:proofErr w:type="spellEnd"/>
      <w:r w:rsidRPr="004F6B5E">
        <w:rPr>
          <w:rFonts w:asciiTheme="minorHAnsi" w:hAnsiTheme="minorHAnsi" w:cstheme="minorHAnsi"/>
          <w:sz w:val="22"/>
          <w:szCs w:val="22"/>
          <w:lang w:val="sk-SK"/>
        </w:rPr>
        <w:t xml:space="preserve"> zápis do osobitnej evidencie podľa osobitného predpisu, musí byť právny úkon spolu so znaleckým posudkom uložený v zbierke listín ešte pred zápisom do osobitnej evidencie. V prípade porušenia povinnosti uložiť znalecký posudok a právny úkon do zbierky listín, vzniká</w:t>
      </w:r>
      <w:r w:rsidRPr="004F6B5E">
        <w:rPr>
          <w:rFonts w:asciiTheme="minorHAnsi" w:hAnsiTheme="minorHAnsi" w:cstheme="minorHAnsi"/>
          <w:i/>
          <w:iCs/>
          <w:sz w:val="22"/>
          <w:szCs w:val="22"/>
          <w:lang w:val="sk-SK"/>
        </w:rPr>
        <w:t xml:space="preserve"> ex </w:t>
      </w:r>
      <w:proofErr w:type="spellStart"/>
      <w:r w:rsidRPr="004F6B5E">
        <w:rPr>
          <w:rFonts w:asciiTheme="minorHAnsi" w:hAnsiTheme="minorHAnsi" w:cstheme="minorHAnsi"/>
          <w:i/>
          <w:iCs/>
          <w:sz w:val="22"/>
          <w:szCs w:val="22"/>
          <w:lang w:val="sk-SK"/>
        </w:rPr>
        <w:t>lege</w:t>
      </w:r>
      <w:proofErr w:type="spellEnd"/>
      <w:r w:rsidRPr="004F6B5E">
        <w:rPr>
          <w:rFonts w:asciiTheme="minorHAnsi" w:hAnsiTheme="minorHAnsi" w:cstheme="minorHAnsi"/>
          <w:sz w:val="22"/>
          <w:szCs w:val="22"/>
          <w:lang w:val="sk-SK"/>
        </w:rPr>
        <w:t xml:space="preserve"> ručenie členov štatutárneho orgánu spoločnosti za vrátenie hodnoty plnenia alebo zábezpeky poskytnutej z takého právneho úkonu.</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bCs/>
          <w:sz w:val="22"/>
          <w:szCs w:val="22"/>
          <w:lang w:val="sk-SK"/>
        </w:rPr>
      </w:pPr>
      <w:r w:rsidRPr="004F6B5E">
        <w:rPr>
          <w:rFonts w:asciiTheme="minorHAnsi" w:hAnsiTheme="minorHAnsi" w:cstheme="minorHAnsi"/>
          <w:b/>
          <w:bCs/>
          <w:sz w:val="22"/>
          <w:szCs w:val="22"/>
          <w:lang w:val="sk-SK"/>
        </w:rPr>
        <w:t>Obdobie po zrušení spoločnosti, ak spoločnosť nevstúpi do likvidácie včas</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prípade zrušenia spoločnosti súdom, súd zverejní oznámenie o zrušení spoločnosti v Obchodnom vestníku (ďalej len "</w:t>
      </w:r>
      <w:r w:rsidRPr="004F6B5E">
        <w:rPr>
          <w:rFonts w:asciiTheme="minorHAnsi" w:hAnsiTheme="minorHAnsi" w:cstheme="minorHAnsi"/>
          <w:b/>
          <w:bCs/>
          <w:sz w:val="22"/>
          <w:szCs w:val="22"/>
          <w:lang w:val="sk-SK"/>
        </w:rPr>
        <w:t>OV</w:t>
      </w:r>
      <w:r w:rsidRPr="004F6B5E">
        <w:rPr>
          <w:rFonts w:asciiTheme="minorHAnsi" w:hAnsiTheme="minorHAnsi" w:cstheme="minorHAnsi"/>
          <w:sz w:val="22"/>
          <w:szCs w:val="22"/>
          <w:lang w:val="sk-SK"/>
        </w:rPr>
        <w:t xml:space="preserve">") po nadobudnutí právoplatnosti rozhodnutia o zrušení spoločnosti. Ak spoločnosť nezabezpečí zápis likvidátora do obchodného registra (nevstúpi do likvidácie) ani do 90 dní od zverejnenia tohto oznámenie o zrušení spoločnosti v OV, predpokladá sa, že spoločnosť je v úpadku. </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lastRenderedPageBreak/>
        <w:t xml:space="preserve">Oznámenie o predpoklade úpadku súd takisto zverejní v OV. Ak ani do 6 mesiacov od zverejnenia oznámenia o úpadku </w:t>
      </w:r>
      <w:r w:rsidRPr="004F6B5E">
        <w:rPr>
          <w:rFonts w:asciiTheme="minorHAnsi" w:hAnsiTheme="minorHAnsi" w:cstheme="minorHAnsi"/>
          <w:i/>
          <w:iCs/>
          <w:sz w:val="22"/>
          <w:szCs w:val="22"/>
          <w:lang w:val="sk-SK"/>
        </w:rPr>
        <w:t>(a)</w:t>
      </w:r>
      <w:r w:rsidRPr="004F6B5E">
        <w:rPr>
          <w:rFonts w:asciiTheme="minorHAnsi" w:hAnsiTheme="minorHAnsi" w:cstheme="minorHAnsi"/>
          <w:sz w:val="22"/>
          <w:szCs w:val="22"/>
          <w:lang w:val="sk-SK"/>
        </w:rPr>
        <w:t xml:space="preserve"> nie je podaný návrh na ustanovenie likvidátora súdom spolu s osvedčením o zložení preddavku na likvidáciu alebo </w:t>
      </w:r>
      <w:r w:rsidRPr="004F6B5E">
        <w:rPr>
          <w:rFonts w:asciiTheme="minorHAnsi" w:hAnsiTheme="minorHAnsi" w:cstheme="minorHAnsi"/>
          <w:i/>
          <w:iCs/>
          <w:sz w:val="22"/>
          <w:szCs w:val="22"/>
          <w:lang w:val="sk-SK"/>
        </w:rPr>
        <w:t>(b)</w:t>
      </w:r>
      <w:r w:rsidRPr="004F6B5E">
        <w:rPr>
          <w:rFonts w:asciiTheme="minorHAnsi" w:hAnsiTheme="minorHAnsi" w:cstheme="minorHAnsi"/>
          <w:sz w:val="22"/>
          <w:szCs w:val="22"/>
          <w:lang w:val="sk-SK"/>
        </w:rPr>
        <w:t xml:space="preserve"> nie je podaný návrh na vyhlásenie konkurzu spoločnosti, súd rozhodne o výmaze spoločnosti z obchodného registra bez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Obdobne, ak súd zistí, že k zrušeniu spoločnosti došlo inak ako rozhodnutím súdu, táto okolnosť vyplýva z verejnej listiny (napríklad úmrtný list v prípade jedného zo spoločníkov verejnej obchodnej spoločnosti, pokiaľ spoločenská zmluva nestanovuje inak) a spoločnosť nevstúpila do likvidácie v lehote ustanovenej osobitným predpisom, predpokladá sa, že je v úpadku. Postup uvedený vyššie ohľadom predpokladaného úpadku sa uplatňuje rovnako.</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Ustanovenie likvidátora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Likvidátor môže byť ustanovený do funkcie buď</w:t>
      </w:r>
      <w:r w:rsidRPr="004F6B5E">
        <w:rPr>
          <w:rFonts w:asciiTheme="minorHAnsi" w:hAnsiTheme="minorHAnsi" w:cstheme="minorHAnsi"/>
          <w:i/>
          <w:sz w:val="22"/>
          <w:szCs w:val="22"/>
          <w:lang w:val="sk-SK"/>
        </w:rPr>
        <w:t xml:space="preserve"> (a) </w:t>
      </w:r>
      <w:r w:rsidRPr="004F6B5E">
        <w:rPr>
          <w:rFonts w:asciiTheme="minorHAnsi" w:hAnsiTheme="minorHAnsi" w:cstheme="minorHAnsi"/>
          <w:sz w:val="22"/>
          <w:szCs w:val="22"/>
          <w:lang w:val="sk-SK"/>
        </w:rPr>
        <w:t>spoločníkmi alebo príslušným orgánom spoločnosti (preferovaný spôsob) alebo</w:t>
      </w:r>
      <w:r w:rsidRPr="004F6B5E">
        <w:rPr>
          <w:rFonts w:asciiTheme="minorHAnsi" w:hAnsiTheme="minorHAnsi" w:cstheme="minorHAnsi"/>
          <w:i/>
          <w:sz w:val="22"/>
          <w:szCs w:val="22"/>
          <w:lang w:val="sk-SK"/>
        </w:rPr>
        <w:t xml:space="preserve"> (b) </w:t>
      </w:r>
      <w:r w:rsidRPr="004F6B5E">
        <w:rPr>
          <w:rFonts w:asciiTheme="minorHAnsi" w:hAnsiTheme="minorHAnsi" w:cstheme="minorHAnsi"/>
          <w:sz w:val="22"/>
          <w:szCs w:val="22"/>
          <w:lang w:val="sk-SK"/>
        </w:rPr>
        <w:t xml:space="preserve">súdom. Novela upúšťa od zverenia pôsobnosti likvidátora </w:t>
      </w:r>
      <w:r w:rsidRPr="004F6B5E">
        <w:rPr>
          <w:rFonts w:asciiTheme="minorHAnsi" w:hAnsiTheme="minorHAnsi" w:cstheme="minorHAnsi"/>
          <w:i/>
          <w:sz w:val="22"/>
          <w:szCs w:val="22"/>
          <w:lang w:val="sk-SK"/>
        </w:rPr>
        <w:t xml:space="preserve">ex </w:t>
      </w:r>
      <w:proofErr w:type="spellStart"/>
      <w:r w:rsidRPr="004F6B5E">
        <w:rPr>
          <w:rFonts w:asciiTheme="minorHAnsi" w:hAnsiTheme="minorHAnsi" w:cstheme="minorHAnsi"/>
          <w:i/>
          <w:sz w:val="22"/>
          <w:szCs w:val="22"/>
          <w:lang w:val="sk-SK"/>
        </w:rPr>
        <w:t>lege</w:t>
      </w:r>
      <w:proofErr w:type="spellEnd"/>
      <w:r w:rsidRPr="004F6B5E">
        <w:rPr>
          <w:rFonts w:asciiTheme="minorHAnsi" w:hAnsiTheme="minorHAnsi" w:cstheme="minorHAnsi"/>
          <w:sz w:val="22"/>
          <w:szCs w:val="22"/>
          <w:lang w:val="sk-SK"/>
        </w:rPr>
        <w:t xml:space="preserve"> štatutárnemu orgánu spoločnosti (pred účinnosťou Novely sa uplatní, ak spoločenská zmluva alebo stanovy spoločnosti neurčujú niečo iné).</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Spoločníci alebo príslušný orgán spoločnosti sú povinní ustanoviť likvidátora:</w:t>
      </w:r>
    </w:p>
    <w:p w:rsidR="004F6B5E" w:rsidRPr="004F6B5E" w:rsidRDefault="004F6B5E" w:rsidP="004F6B5E">
      <w:pPr>
        <w:numPr>
          <w:ilvl w:val="0"/>
          <w:numId w:val="15"/>
        </w:numPr>
        <w:spacing w:after="200"/>
        <w:ind w:left="709" w:hanging="349"/>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pri zrušení spoločnosti rozhodnutím spoločníkov alebo príslušného orgánu spoločnosti - spolu s rozhodnutím o zrušení spoločnosti a</w:t>
      </w:r>
    </w:p>
    <w:p w:rsidR="004F6B5E" w:rsidRPr="004F6B5E" w:rsidRDefault="004F6B5E" w:rsidP="004F6B5E">
      <w:pPr>
        <w:numPr>
          <w:ilvl w:val="0"/>
          <w:numId w:val="15"/>
        </w:numPr>
        <w:spacing w:after="200"/>
        <w:ind w:left="709" w:hanging="349"/>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ostatných prípadoch zrušenia spoločnosti - najneskôr do 60 dní od zrušenia spoločnosti.</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Ustanovenie likvidátora súdom prichádza do úvahy v prípade, ak likvidátora včas neustanovia spoločníci alebo príslušný orgán spoločnosti.</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 xml:space="preserve">Návrh na ustanovenie likvidátora je oprávnený podať </w:t>
      </w:r>
      <w:r w:rsidRPr="004F6B5E">
        <w:rPr>
          <w:rFonts w:asciiTheme="minorHAnsi" w:hAnsiTheme="minorHAnsi" w:cstheme="minorHAnsi"/>
          <w:i/>
          <w:iCs/>
          <w:sz w:val="22"/>
          <w:szCs w:val="22"/>
          <w:lang w:val="sk-SK"/>
        </w:rPr>
        <w:t xml:space="preserve">(i) </w:t>
      </w:r>
      <w:r w:rsidRPr="004F6B5E">
        <w:rPr>
          <w:rFonts w:asciiTheme="minorHAnsi" w:hAnsiTheme="minorHAnsi" w:cstheme="minorHAnsi"/>
          <w:iCs/>
          <w:sz w:val="22"/>
          <w:szCs w:val="22"/>
          <w:lang w:val="sk-SK"/>
        </w:rPr>
        <w:t xml:space="preserve">veriteľ </w:t>
      </w:r>
      <w:r w:rsidRPr="004F6B5E">
        <w:rPr>
          <w:rFonts w:asciiTheme="minorHAnsi" w:hAnsiTheme="minorHAnsi" w:cstheme="minorHAnsi"/>
          <w:sz w:val="22"/>
          <w:szCs w:val="22"/>
          <w:lang w:val="sk-SK"/>
        </w:rPr>
        <w:t xml:space="preserve">spoločnosti,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ii</w:t>
      </w:r>
      <w:proofErr w:type="spellEnd"/>
      <w:r w:rsidRPr="004F6B5E">
        <w:rPr>
          <w:rFonts w:asciiTheme="minorHAnsi" w:hAnsiTheme="minorHAnsi" w:cstheme="minorHAnsi"/>
          <w:i/>
          <w:iCs/>
          <w:sz w:val="22"/>
          <w:szCs w:val="22"/>
          <w:lang w:val="sk-SK"/>
        </w:rPr>
        <w:t xml:space="preserve">) </w:t>
      </w:r>
      <w:r w:rsidRPr="004F6B5E">
        <w:rPr>
          <w:rFonts w:asciiTheme="minorHAnsi" w:hAnsiTheme="minorHAnsi" w:cstheme="minorHAnsi"/>
          <w:sz w:val="22"/>
          <w:szCs w:val="22"/>
          <w:lang w:val="sk-SK"/>
        </w:rPr>
        <w:t xml:space="preserve">osoba, ktorá má právo na likvidačný zostatok,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iii</w:t>
      </w:r>
      <w:proofErr w:type="spellEnd"/>
      <w:r w:rsidRPr="004F6B5E">
        <w:rPr>
          <w:rFonts w:asciiTheme="minorHAnsi" w:hAnsiTheme="minorHAnsi" w:cstheme="minorHAnsi"/>
          <w:i/>
          <w:iCs/>
          <w:sz w:val="22"/>
          <w:szCs w:val="22"/>
          <w:lang w:val="sk-SK"/>
        </w:rPr>
        <w:t xml:space="preserve">) </w:t>
      </w:r>
      <w:r w:rsidRPr="004F6B5E">
        <w:rPr>
          <w:rFonts w:asciiTheme="minorHAnsi" w:hAnsiTheme="minorHAnsi" w:cstheme="minorHAnsi"/>
          <w:sz w:val="22"/>
          <w:szCs w:val="22"/>
          <w:lang w:val="sk-SK"/>
        </w:rPr>
        <w:t xml:space="preserve">orgán štátnej správy v oblasti daní, poplatkov a colníctva alebo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iv</w:t>
      </w:r>
      <w:proofErr w:type="spellEnd"/>
      <w:r w:rsidRPr="004F6B5E">
        <w:rPr>
          <w:rFonts w:asciiTheme="minorHAnsi" w:hAnsiTheme="minorHAnsi" w:cstheme="minorHAnsi"/>
          <w:i/>
          <w:iCs/>
          <w:sz w:val="22"/>
          <w:szCs w:val="22"/>
          <w:lang w:val="sk-SK"/>
        </w:rPr>
        <w:t xml:space="preserve">) </w:t>
      </w:r>
      <w:r w:rsidRPr="004F6B5E">
        <w:rPr>
          <w:rFonts w:asciiTheme="minorHAnsi" w:hAnsiTheme="minorHAnsi" w:cstheme="minorHAnsi"/>
          <w:sz w:val="22"/>
          <w:szCs w:val="22"/>
          <w:lang w:val="sk-SK"/>
        </w:rPr>
        <w:t>osoba, ktorá je dotknutá zrušením spoločnosti. Navrhovateľ je takisto povinný osvedčiť zloženie preddavku na likvidáciu do notárskej úschovy, inak sa na návrh na ustanovenie likvidátora neprihliada. Proti rozhodnutiu súdu o ustanovení likvidátora nie je prípustné odvolanie.</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Osoba likvidátora</w:t>
      </w:r>
    </w:p>
    <w:p w:rsidR="004F6B5E" w:rsidRPr="004F6B5E" w:rsidRDefault="004F6B5E" w:rsidP="004F6B5E">
      <w:pPr>
        <w:pStyle w:val="Odsekzoznamu"/>
        <w:spacing w:after="200"/>
        <w:ind w:left="0"/>
        <w:contextualSpacing w:val="0"/>
        <w:jc w:val="both"/>
        <w:rPr>
          <w:rFonts w:asciiTheme="minorHAnsi" w:hAnsiTheme="minorHAnsi" w:cstheme="minorHAnsi"/>
          <w:bCs/>
          <w:sz w:val="22"/>
          <w:szCs w:val="22"/>
          <w:lang w:val="sk-SK"/>
        </w:rPr>
      </w:pPr>
      <w:r w:rsidRPr="004F6B5E">
        <w:rPr>
          <w:rFonts w:asciiTheme="minorHAnsi" w:hAnsiTheme="minorHAnsi" w:cstheme="minorHAnsi"/>
          <w:bCs/>
          <w:sz w:val="22"/>
          <w:szCs w:val="22"/>
          <w:lang w:val="sk-SK"/>
        </w:rPr>
        <w:t>Spoločníci alebo príslušný orgán spoločnosti môžu po novom za likvidátora ustanoviť buď:</w:t>
      </w:r>
    </w:p>
    <w:p w:rsidR="004F6B5E" w:rsidRPr="004F6B5E" w:rsidRDefault="004F6B5E" w:rsidP="004F6B5E">
      <w:pPr>
        <w:numPr>
          <w:ilvl w:val="0"/>
          <w:numId w:val="16"/>
        </w:numPr>
        <w:spacing w:after="200"/>
        <w:jc w:val="both"/>
        <w:rPr>
          <w:rFonts w:asciiTheme="minorHAnsi" w:hAnsiTheme="minorHAnsi" w:cstheme="minorHAnsi"/>
          <w:iCs/>
          <w:sz w:val="22"/>
          <w:szCs w:val="22"/>
          <w:lang w:val="sk-SK"/>
        </w:rPr>
      </w:pPr>
      <w:r w:rsidRPr="004F6B5E">
        <w:rPr>
          <w:rFonts w:asciiTheme="minorHAnsi" w:hAnsiTheme="minorHAnsi" w:cstheme="minorHAnsi"/>
          <w:sz w:val="22"/>
          <w:szCs w:val="22"/>
          <w:lang w:val="sk-SK"/>
        </w:rPr>
        <w:t xml:space="preserve">osobu, </w:t>
      </w:r>
      <w:r w:rsidRPr="004F6B5E">
        <w:rPr>
          <w:rFonts w:asciiTheme="minorHAnsi" w:hAnsiTheme="minorHAnsi" w:cstheme="minorHAnsi"/>
          <w:iCs/>
          <w:sz w:val="22"/>
          <w:szCs w:val="22"/>
          <w:lang w:val="sk-SK"/>
        </w:rPr>
        <w:t>ktorá je zapísaná v zozname správcov konkurznej podstaty alebo</w:t>
      </w:r>
    </w:p>
    <w:p w:rsidR="004F6B5E" w:rsidRPr="004F6B5E" w:rsidRDefault="004F6B5E" w:rsidP="004F6B5E">
      <w:pPr>
        <w:numPr>
          <w:ilvl w:val="0"/>
          <w:numId w:val="16"/>
        </w:numPr>
        <w:spacing w:after="200"/>
        <w:jc w:val="both"/>
        <w:rPr>
          <w:rFonts w:asciiTheme="minorHAnsi" w:hAnsiTheme="minorHAnsi" w:cstheme="minorHAnsi"/>
          <w:sz w:val="22"/>
          <w:szCs w:val="22"/>
          <w:lang w:val="sk-SK"/>
        </w:rPr>
      </w:pPr>
      <w:r w:rsidRPr="004F6B5E">
        <w:rPr>
          <w:rFonts w:asciiTheme="minorHAnsi" w:hAnsiTheme="minorHAnsi" w:cstheme="minorHAnsi"/>
          <w:iCs/>
          <w:sz w:val="22"/>
          <w:szCs w:val="22"/>
          <w:lang w:val="sk-SK"/>
        </w:rPr>
        <w:t xml:space="preserve">osobu zapísanú v registri fyzických osôb, ak </w:t>
      </w:r>
      <w:r w:rsidRPr="004F6B5E">
        <w:rPr>
          <w:rFonts w:asciiTheme="minorHAnsi" w:hAnsiTheme="minorHAnsi" w:cstheme="minorHAnsi"/>
          <w:i/>
          <w:sz w:val="22"/>
          <w:szCs w:val="22"/>
          <w:lang w:val="sk-SK"/>
        </w:rPr>
        <w:t>(i)</w:t>
      </w:r>
      <w:r w:rsidRPr="004F6B5E">
        <w:rPr>
          <w:rFonts w:asciiTheme="minorHAnsi" w:hAnsiTheme="minorHAnsi" w:cstheme="minorHAnsi"/>
          <w:iCs/>
          <w:sz w:val="22"/>
          <w:szCs w:val="22"/>
          <w:lang w:val="sk-SK"/>
        </w:rPr>
        <w:t xml:space="preserve"> s takým ustanovením súhlasí, a súčasne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ii</w:t>
      </w:r>
      <w:proofErr w:type="spellEnd"/>
      <w:r w:rsidRPr="004F6B5E">
        <w:rPr>
          <w:rFonts w:asciiTheme="minorHAnsi" w:hAnsiTheme="minorHAnsi" w:cstheme="minorHAnsi"/>
          <w:i/>
          <w:sz w:val="22"/>
          <w:szCs w:val="22"/>
          <w:lang w:val="sk-SK"/>
        </w:rPr>
        <w:t>)</w:t>
      </w:r>
      <w:r w:rsidRPr="004F6B5E">
        <w:rPr>
          <w:rFonts w:asciiTheme="minorHAnsi" w:hAnsiTheme="minorHAnsi" w:cstheme="minorHAnsi"/>
          <w:iCs/>
          <w:sz w:val="22"/>
          <w:szCs w:val="22"/>
          <w:lang w:val="sk-SK"/>
        </w:rPr>
        <w:t xml:space="preserve"> by inak mohla byť ustanovená za člena štatutárneho orgánu.</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iCs/>
          <w:sz w:val="22"/>
          <w:szCs w:val="22"/>
          <w:lang w:val="sk-SK"/>
        </w:rPr>
        <w:t>Referenčným registrom fyzických osôb sa pritom rozumie register obyvateľov Slovenskej republiky, ktorý vedie Ministerstvo vnútra Slovenskej</w:t>
      </w:r>
      <w:r w:rsidRPr="004F6B5E">
        <w:rPr>
          <w:rFonts w:asciiTheme="minorHAnsi" w:hAnsiTheme="minorHAnsi" w:cstheme="minorHAnsi"/>
          <w:sz w:val="22"/>
          <w:szCs w:val="22"/>
          <w:lang w:val="sk-SK"/>
        </w:rPr>
        <w:t xml:space="preserve"> republiky podľa zákona č. 253/1998 Z. z. o hlásení pobytu občanov Slovenskej republiky a registri obyvateľov Slovenskej republiky, do ktorého sa zapisujú </w:t>
      </w:r>
      <w:r w:rsidRPr="004F6B5E">
        <w:rPr>
          <w:rFonts w:asciiTheme="minorHAnsi" w:hAnsiTheme="minorHAnsi" w:cstheme="minorHAnsi"/>
          <w:i/>
          <w:iCs/>
          <w:sz w:val="22"/>
          <w:szCs w:val="22"/>
          <w:lang w:val="sk-SK"/>
        </w:rPr>
        <w:t>(i)</w:t>
      </w:r>
      <w:r w:rsidRPr="004F6B5E">
        <w:rPr>
          <w:rFonts w:asciiTheme="minorHAnsi" w:hAnsiTheme="minorHAnsi" w:cstheme="minorHAnsi"/>
          <w:sz w:val="22"/>
          <w:szCs w:val="22"/>
          <w:lang w:val="sk-SK"/>
        </w:rPr>
        <w:t xml:space="preserve"> </w:t>
      </w:r>
      <w:r w:rsidRPr="004F6B5E">
        <w:rPr>
          <w:rFonts w:asciiTheme="minorHAnsi" w:hAnsiTheme="minorHAnsi" w:cstheme="minorHAnsi"/>
          <w:iCs/>
          <w:sz w:val="22"/>
          <w:szCs w:val="22"/>
          <w:lang w:val="sk-SK"/>
        </w:rPr>
        <w:t xml:space="preserve">občania SR s trvalým pobytom na území SR,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ii</w:t>
      </w:r>
      <w:proofErr w:type="spellEnd"/>
      <w:r w:rsidRPr="004F6B5E">
        <w:rPr>
          <w:rFonts w:asciiTheme="minorHAnsi" w:hAnsiTheme="minorHAnsi" w:cstheme="minorHAnsi"/>
          <w:i/>
          <w:sz w:val="22"/>
          <w:szCs w:val="22"/>
          <w:lang w:val="sk-SK"/>
        </w:rPr>
        <w:t xml:space="preserve">) </w:t>
      </w:r>
      <w:r w:rsidRPr="004F6B5E">
        <w:rPr>
          <w:rFonts w:asciiTheme="minorHAnsi" w:hAnsiTheme="minorHAnsi" w:cstheme="minorHAnsi"/>
          <w:iCs/>
          <w:sz w:val="22"/>
          <w:szCs w:val="22"/>
          <w:lang w:val="sk-SK"/>
        </w:rPr>
        <w:t xml:space="preserve">občania SR, ktorí nemajú trvalý pobyt na území SR,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iii</w:t>
      </w:r>
      <w:proofErr w:type="spellEnd"/>
      <w:r w:rsidRPr="004F6B5E">
        <w:rPr>
          <w:rFonts w:asciiTheme="minorHAnsi" w:hAnsiTheme="minorHAnsi" w:cstheme="minorHAnsi"/>
          <w:i/>
          <w:sz w:val="22"/>
          <w:szCs w:val="22"/>
          <w:lang w:val="sk-SK"/>
        </w:rPr>
        <w:t xml:space="preserve">) </w:t>
      </w:r>
      <w:r w:rsidRPr="004F6B5E">
        <w:rPr>
          <w:rFonts w:asciiTheme="minorHAnsi" w:hAnsiTheme="minorHAnsi" w:cstheme="minorHAnsi"/>
          <w:iCs/>
          <w:sz w:val="22"/>
          <w:szCs w:val="22"/>
          <w:lang w:val="sk-SK"/>
        </w:rPr>
        <w:t xml:space="preserve">cudzinci prihlásení na pobyt na území SR,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iv</w:t>
      </w:r>
      <w:proofErr w:type="spellEnd"/>
      <w:r w:rsidRPr="004F6B5E">
        <w:rPr>
          <w:rFonts w:asciiTheme="minorHAnsi" w:hAnsiTheme="minorHAnsi" w:cstheme="minorHAnsi"/>
          <w:i/>
          <w:sz w:val="22"/>
          <w:szCs w:val="22"/>
          <w:lang w:val="sk-SK"/>
        </w:rPr>
        <w:t>)</w:t>
      </w:r>
      <w:r w:rsidRPr="004F6B5E">
        <w:rPr>
          <w:rFonts w:asciiTheme="minorHAnsi" w:hAnsiTheme="minorHAnsi" w:cstheme="minorHAnsi"/>
          <w:iCs/>
          <w:sz w:val="22"/>
          <w:szCs w:val="22"/>
          <w:lang w:val="sk-SK"/>
        </w:rPr>
        <w:t xml:space="preserve"> cudzinci, ktorým bol udelený azyl na území SR a </w:t>
      </w:r>
      <w:r w:rsidRPr="004F6B5E">
        <w:rPr>
          <w:rFonts w:asciiTheme="minorHAnsi" w:hAnsiTheme="minorHAnsi" w:cstheme="minorHAnsi"/>
          <w:i/>
          <w:sz w:val="22"/>
          <w:szCs w:val="22"/>
          <w:lang w:val="sk-SK"/>
        </w:rPr>
        <w:t xml:space="preserve">(v) </w:t>
      </w:r>
      <w:r w:rsidRPr="004F6B5E">
        <w:rPr>
          <w:rFonts w:asciiTheme="minorHAnsi" w:hAnsiTheme="minorHAnsi" w:cstheme="minorHAnsi"/>
          <w:iCs/>
          <w:sz w:val="22"/>
          <w:szCs w:val="22"/>
          <w:lang w:val="sk-SK"/>
        </w:rPr>
        <w:t>cudzinci bez pobytu na území SR, ktorí sú evidovaní v informačných systémoch vedených podľa</w:t>
      </w:r>
      <w:r w:rsidRPr="004F6B5E">
        <w:rPr>
          <w:rFonts w:asciiTheme="minorHAnsi" w:hAnsiTheme="minorHAnsi" w:cstheme="minorHAnsi"/>
          <w:sz w:val="22"/>
          <w:szCs w:val="22"/>
          <w:lang w:val="sk-SK"/>
        </w:rPr>
        <w:t xml:space="preserve"> zákona o pobyte cudzincov. </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 xml:space="preserve">Znamená to, že za likvidátora už spoločníci, resp. príslušný orgán spoločnosti, nemôžu ustanoviť </w:t>
      </w:r>
      <w:r w:rsidRPr="004F6B5E">
        <w:rPr>
          <w:rFonts w:asciiTheme="minorHAnsi" w:hAnsiTheme="minorHAnsi" w:cstheme="minorHAnsi"/>
          <w:i/>
          <w:iCs/>
          <w:sz w:val="22"/>
          <w:szCs w:val="22"/>
          <w:lang w:val="sk-SK"/>
        </w:rPr>
        <w:t xml:space="preserve">(a) </w:t>
      </w:r>
      <w:r w:rsidRPr="004F6B5E">
        <w:rPr>
          <w:rFonts w:asciiTheme="minorHAnsi" w:hAnsiTheme="minorHAnsi" w:cstheme="minorHAnsi"/>
          <w:sz w:val="22"/>
          <w:szCs w:val="22"/>
          <w:lang w:val="sk-SK"/>
        </w:rPr>
        <w:t xml:space="preserve">žiadnu inú právnickú osobu ako takú, ktorá je zapísaná v zozname správcov konkurznej podstaty, ani </w:t>
      </w:r>
      <w:r w:rsidRPr="004F6B5E">
        <w:rPr>
          <w:rFonts w:asciiTheme="minorHAnsi" w:hAnsiTheme="minorHAnsi" w:cstheme="minorHAnsi"/>
          <w:i/>
          <w:iCs/>
          <w:sz w:val="22"/>
          <w:szCs w:val="22"/>
          <w:lang w:val="sk-SK"/>
        </w:rPr>
        <w:t>(b)</w:t>
      </w:r>
      <w:r w:rsidRPr="004F6B5E">
        <w:rPr>
          <w:rFonts w:asciiTheme="minorHAnsi" w:hAnsiTheme="minorHAnsi" w:cstheme="minorHAnsi"/>
          <w:sz w:val="22"/>
          <w:szCs w:val="22"/>
          <w:lang w:val="sk-SK"/>
        </w:rPr>
        <w:t xml:space="preserve"> takú fyzickú osobu, ktorá nie je bezúhonná (bola právoplatne odsúdená za trestný čin hospodársky, trestný čin </w:t>
      </w:r>
      <w:r w:rsidRPr="004F6B5E">
        <w:rPr>
          <w:rFonts w:asciiTheme="minorHAnsi" w:hAnsiTheme="minorHAnsi" w:cstheme="minorHAnsi"/>
          <w:sz w:val="22"/>
          <w:szCs w:val="22"/>
          <w:lang w:val="sk-SK"/>
        </w:rPr>
        <w:lastRenderedPageBreak/>
        <w:t>proti majetku alebo iný trestný čin spáchaný úmyselne, ktorého skutková podstata súvisí s predmetom podnikania, ak sa na ňu nehľadí, akoby nebola odsúdená).</w:t>
      </w:r>
    </w:p>
    <w:p w:rsidR="004F6B5E" w:rsidRPr="004F6B5E" w:rsidRDefault="004F6B5E" w:rsidP="004F6B5E">
      <w:pPr>
        <w:pStyle w:val="Odsekzoznamu"/>
        <w:spacing w:after="200"/>
        <w:ind w:left="0"/>
        <w:contextualSpacing w:val="0"/>
        <w:jc w:val="both"/>
        <w:rPr>
          <w:rFonts w:asciiTheme="minorHAnsi" w:hAnsiTheme="minorHAnsi" w:cstheme="minorHAnsi"/>
          <w:sz w:val="22"/>
          <w:szCs w:val="22"/>
          <w:lang w:val="sk-SK"/>
        </w:rPr>
      </w:pPr>
      <w:r w:rsidRPr="004F6B5E">
        <w:rPr>
          <w:rFonts w:asciiTheme="minorHAnsi" w:hAnsiTheme="minorHAnsi" w:cstheme="minorHAnsi"/>
          <w:bCs/>
          <w:sz w:val="22"/>
          <w:szCs w:val="22"/>
          <w:lang w:val="sk-SK"/>
        </w:rPr>
        <w:t>Súd môže od účinnosti Novely ustanoviť za likvidátora už iba osobu, ktorá je zapísaná v zozname správcov</w:t>
      </w:r>
      <w:r w:rsidRPr="004F6B5E">
        <w:rPr>
          <w:rFonts w:asciiTheme="minorHAnsi" w:hAnsiTheme="minorHAnsi" w:cstheme="minorHAnsi"/>
          <w:sz w:val="22"/>
          <w:szCs w:val="22"/>
          <w:lang w:val="sk-SK"/>
        </w:rPr>
        <w:t xml:space="preserve"> konkurznej podstaty, a to náhodným výberom, a aj bez jej súhlasu. Súd tak už nemôže ustanoviť za likvidátora niektorého zo spoločníkov spoločnosti, štatutárny orgán či člena štatutárneho orgánu spoločnosti.</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Zánik funkcie likvidátora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súvislosti so zánikom funkcie likvidátora je nové:</w:t>
      </w:r>
    </w:p>
    <w:p w:rsidR="004F6B5E" w:rsidRPr="004F6B5E" w:rsidRDefault="004F6B5E" w:rsidP="004F6B5E">
      <w:pPr>
        <w:numPr>
          <w:ilvl w:val="0"/>
          <w:numId w:val="17"/>
        </w:numPr>
        <w:spacing w:after="200"/>
        <w:jc w:val="both"/>
        <w:rPr>
          <w:rFonts w:asciiTheme="minorHAnsi" w:hAnsiTheme="minorHAnsi" w:cstheme="minorHAnsi"/>
          <w:iCs/>
          <w:sz w:val="22"/>
          <w:szCs w:val="22"/>
          <w:lang w:val="sk-SK"/>
        </w:rPr>
      </w:pPr>
      <w:r w:rsidRPr="004F6B5E">
        <w:rPr>
          <w:rFonts w:asciiTheme="minorHAnsi" w:hAnsiTheme="minorHAnsi" w:cstheme="minorHAnsi"/>
          <w:sz w:val="22"/>
          <w:szCs w:val="22"/>
          <w:lang w:val="sk-SK"/>
        </w:rPr>
        <w:t xml:space="preserve">rozšírenie právomoci odvolať likvidátora z funkcie aj na spoločníkov spoločnosti, prípadne </w:t>
      </w:r>
      <w:r w:rsidRPr="004F6B5E">
        <w:rPr>
          <w:rFonts w:asciiTheme="minorHAnsi" w:hAnsiTheme="minorHAnsi" w:cstheme="minorHAnsi"/>
          <w:iCs/>
          <w:sz w:val="22"/>
          <w:szCs w:val="22"/>
          <w:lang w:val="sk-SK"/>
        </w:rPr>
        <w:t>príslušný orgán spoločnosti, ak ho do funkcie ustanovili. Likvidátora ustanoveného súdom, však môže aj naďalej z funkcie odvolať iba súd; a</w:t>
      </w:r>
    </w:p>
    <w:p w:rsidR="004F6B5E" w:rsidRPr="004F6B5E" w:rsidRDefault="004F6B5E" w:rsidP="004F6B5E">
      <w:pPr>
        <w:numPr>
          <w:ilvl w:val="0"/>
          <w:numId w:val="17"/>
        </w:numPr>
        <w:spacing w:after="200"/>
        <w:jc w:val="both"/>
        <w:rPr>
          <w:rFonts w:asciiTheme="minorHAnsi" w:hAnsiTheme="minorHAnsi" w:cstheme="minorHAnsi"/>
          <w:sz w:val="22"/>
          <w:szCs w:val="22"/>
          <w:lang w:val="sk-SK"/>
        </w:rPr>
      </w:pPr>
      <w:r w:rsidRPr="004F6B5E">
        <w:rPr>
          <w:rFonts w:asciiTheme="minorHAnsi" w:hAnsiTheme="minorHAnsi" w:cstheme="minorHAnsi"/>
          <w:iCs/>
          <w:sz w:val="22"/>
          <w:szCs w:val="22"/>
          <w:lang w:val="sk-SK"/>
        </w:rPr>
        <w:t>sprísnen</w:t>
      </w:r>
      <w:r w:rsidRPr="004F6B5E">
        <w:rPr>
          <w:rFonts w:asciiTheme="minorHAnsi" w:hAnsiTheme="minorHAnsi" w:cstheme="minorHAnsi"/>
          <w:sz w:val="22"/>
          <w:szCs w:val="22"/>
          <w:lang w:val="sk-SK"/>
        </w:rPr>
        <w:t>ie formálnych náležitostí vzdania sa funkcie likvidátora; od účinnosti Novely musí likvidátor vlastnoručne podpísať vzdanie sa funkcie v prítomnosti notára, resp. v prítomnosti zamestnanca povereného notárom (uznanie podpisu za vlastný pred notárom nepostačuje).</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Preddavok na likvidáciu</w:t>
      </w:r>
    </w:p>
    <w:p w:rsidR="004F6B5E" w:rsidRPr="004F6B5E" w:rsidRDefault="004F6B5E" w:rsidP="004F6B5E">
      <w:pPr>
        <w:keepNext/>
        <w:keepLines/>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Za účelom zabezpečenia nárokov likvidátora, Novela zaviedla nový inštitút preddavku na likvidáciu, ktorý má slúžiť na úhradu odmeny a výdavkov likvidátora (ďalej len "</w:t>
      </w:r>
      <w:r w:rsidRPr="004F6B5E">
        <w:rPr>
          <w:rFonts w:asciiTheme="minorHAnsi" w:hAnsiTheme="minorHAnsi" w:cstheme="minorHAnsi"/>
          <w:b/>
          <w:sz w:val="22"/>
          <w:szCs w:val="22"/>
          <w:lang w:val="sk-SK"/>
        </w:rPr>
        <w:t>Preddavok</w:t>
      </w:r>
      <w:r w:rsidRPr="004F6B5E">
        <w:rPr>
          <w:rFonts w:asciiTheme="minorHAnsi" w:hAnsiTheme="minorHAnsi" w:cstheme="minorHAnsi"/>
          <w:sz w:val="22"/>
          <w:szCs w:val="22"/>
          <w:lang w:val="sk-SK"/>
        </w:rPr>
        <w:t>").</w:t>
      </w:r>
    </w:p>
    <w:p w:rsidR="004F6B5E" w:rsidRPr="004F6B5E" w:rsidRDefault="004F6B5E" w:rsidP="004F6B5E">
      <w:pPr>
        <w:keepNext/>
        <w:keepLines/>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Preddavok je potrebné zložiť do notárskej úschovy. V prípade ustanovenia likvidátora spoločníkmi či príslušným orgánom spoločnosti, je Preddavok povinná zložiť spoločnosť a splnenie tejto povinnosti sa má preukázať registrovému súdu priložením notárskej zápisnice o úschove peňazí (originálu alebo osvedčenej kópie) k príslušnému návrhu na zápis likvidátora do obchodného registra (v zmysle dôvodovej správy; aktuálne však táto povinnosť nie je výslovne ustanovená v príslušných právnych predpisoch).</w:t>
      </w:r>
    </w:p>
    <w:p w:rsidR="004F6B5E" w:rsidRPr="004F6B5E" w:rsidRDefault="004F6B5E" w:rsidP="004F6B5E">
      <w:pPr>
        <w:keepNext/>
        <w:keepLines/>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prípade ustanovenia likvidátora súdom, je Preddavok povinný zložiť ten, kto podáva súdu návrh na ustanovenie likvidátora. Oprávnený navrhovateľ je zároveň povinný osvedčiť splnenie tejto povinnosti priložením notárskej zápisnice o úschove peňazí k návrhu na ustanovenie likvidátora; inak súd na návrh nebude prihliadať.</w:t>
      </w:r>
    </w:p>
    <w:p w:rsidR="004F6B5E" w:rsidRPr="004F6B5E" w:rsidRDefault="004F6B5E" w:rsidP="004F6B5E">
      <w:pPr>
        <w:keepNext/>
        <w:keepLines/>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Podrobnosti ohľadom výšky Preddavku upraví všeobecne záväzný predpis. Aktuálne je verejne dostupný predbežný návrh vyhlášky MS SR, ktorou sa vykonávajú niektoré ustanovenia Obchodného zákonníka o likvidácii (ďalej len "</w:t>
      </w:r>
      <w:r w:rsidRPr="004F6B5E">
        <w:rPr>
          <w:rFonts w:asciiTheme="minorHAnsi" w:hAnsiTheme="minorHAnsi" w:cstheme="minorHAnsi"/>
          <w:b/>
          <w:sz w:val="22"/>
          <w:szCs w:val="22"/>
          <w:lang w:val="sk-SK"/>
        </w:rPr>
        <w:t>Vyhláška</w:t>
      </w:r>
      <w:r w:rsidRPr="004F6B5E">
        <w:rPr>
          <w:rFonts w:asciiTheme="minorHAnsi" w:hAnsiTheme="minorHAnsi" w:cstheme="minorHAnsi"/>
          <w:sz w:val="22"/>
          <w:szCs w:val="22"/>
          <w:lang w:val="sk-SK"/>
        </w:rPr>
        <w:t>"), ktorý sa nachádza v predprípravnej fáze legislatívneho procesu.</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Na Preddavok sa vzťahuje exekučná ochrana, podlieha však konkurzu, okrem prípadu, ak návrh na vyhlásenie konkurzu podal likvidátor. V takom prípade notár, ktorý uschováva Preddavok, vydá hodnotu Preddavku likvidátorovi, ktorý bol v čase vyhlásenia konkurzu zapísaný v obchodnom registri ako likvidátor danej spoločnosti.</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ostatných prípadoch notár vydá Preddavok tomu likvidátorovi, ktorý bol ako posledný zapísaný ako likvidátor tejto spoločnosti v obchodnom registri.</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Zodpovednosť likvidátora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Oproti aktuálnej úprave, zákon explicitne stanovuje povinnosť likvidátora postupovať pri výkone svojej pôsobnosti s odbornou starostlivosťou a v súlade so záujmami spoločnosti a všetkých jej spoločníkov. S uvedenými povinnosťami sa na likvidátora viaže rovnaká zodpovednosť ako na členov štatutárneho orgánu spoločnosti.</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lastRenderedPageBreak/>
        <w:t>Od momentu zápisu likvidátora do obchodného registra je likvidátor povinný (o. i.) plniť viaceré publikačné povinnosti, ktorých plnenie sa dá relatívne ľahko monitorovať (najmä povinnosť zverejniť oznámenie o vstupe spoločnosti do likvidácie a výzvu na uplatnenie pohľadávok, uložiť zoznam pohľadávok a zoznam majetku do zbierky listín, zverejniť oznámenie o zostavení účtovnej závierky, konečnej správy a návrhu rozdelenia likvidačného zostatku, či zverejniť oznámenie o skončení likvidácie). Porušenie uvedených povinností bude spravidla dôvodom na odvolanie likvidátora z funkcie (primárne subjektom, ktorý ho do funkcie ustanovil).</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Odmena a náhrada výdavkov likvidátora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Odmena a náhrada výdavkov likvidátora sa uhradí z likvidačnej podstaty a z Preddavku. Rozhodným dňom pre splatnosť odmeny a náhrady výdavkov likvidátora z Preddavku je najskôr deň schválenia konečnej správy o priebehu likvidácie, účtovnej závierky a návrhu rozdelenia majetkového zostatku, ktorý vyplynie z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Cs/>
          <w:sz w:val="22"/>
          <w:szCs w:val="22"/>
          <w:lang w:val="sk-SK"/>
        </w:rPr>
        <w:t>Ak bol likvidátor ustanovený spoločníkmi alebo príslušným orgánom spoločnosti, tak má likvidátor nárok na odmenu a náhradu výdavkov dohodnutú na základe mandátnej zmluvy uzatvorenej medzi spoločnosťou a príslušným likvidátorom (pri zohľadnení všeobecných pravidiel limitácie zmluvnej voľnosti, napr. neplatnosť či odporovateľnosť právnych úkonov).</w:t>
      </w:r>
    </w:p>
    <w:p w:rsidR="004F6B5E" w:rsidRPr="004F6B5E" w:rsidRDefault="004F6B5E" w:rsidP="004F6B5E">
      <w:pPr>
        <w:spacing w:after="200"/>
        <w:jc w:val="both"/>
        <w:rPr>
          <w:rFonts w:asciiTheme="minorHAnsi" w:hAnsiTheme="minorHAnsi" w:cstheme="minorHAnsi"/>
          <w:bCs/>
          <w:sz w:val="22"/>
          <w:szCs w:val="22"/>
          <w:lang w:val="sk-SK"/>
        </w:rPr>
      </w:pPr>
      <w:r w:rsidRPr="004F6B5E">
        <w:rPr>
          <w:rFonts w:asciiTheme="minorHAnsi" w:hAnsiTheme="minorHAnsi" w:cstheme="minorHAnsi"/>
          <w:bCs/>
          <w:sz w:val="22"/>
          <w:szCs w:val="22"/>
          <w:lang w:val="sk-SK"/>
        </w:rPr>
        <w:t xml:space="preserve">Ak bol likvidátor ustanovený súdom, patrí mu odmena a náhrada výdavkov určená Vyhláškou, pričom odmena likvidátora v takom prípade pozostáva z </w:t>
      </w:r>
      <w:r w:rsidRPr="004F6B5E">
        <w:rPr>
          <w:rFonts w:asciiTheme="minorHAnsi" w:hAnsiTheme="minorHAnsi" w:cstheme="minorHAnsi"/>
          <w:bCs/>
          <w:i/>
          <w:sz w:val="22"/>
          <w:szCs w:val="22"/>
          <w:lang w:val="sk-SK"/>
        </w:rPr>
        <w:t>(i)</w:t>
      </w:r>
      <w:r w:rsidRPr="004F6B5E">
        <w:rPr>
          <w:rFonts w:asciiTheme="minorHAnsi" w:hAnsiTheme="minorHAnsi" w:cstheme="minorHAnsi"/>
          <w:bCs/>
          <w:sz w:val="22"/>
          <w:szCs w:val="22"/>
          <w:lang w:val="sk-SK"/>
        </w:rPr>
        <w:t xml:space="preserve"> paušálnej odmeny za jednotlivé úkony spojené s likvidáciou (napr. zapísanie prihlášky veriteľa do zoznamu pohľadávok, zostavenie mimoriadnej účtovnej závierky) a z </w:t>
      </w:r>
      <w:r w:rsidRPr="004F6B5E">
        <w:rPr>
          <w:rFonts w:asciiTheme="minorHAnsi" w:hAnsiTheme="minorHAnsi" w:cstheme="minorHAnsi"/>
          <w:bCs/>
          <w:i/>
          <w:sz w:val="22"/>
          <w:szCs w:val="22"/>
          <w:lang w:val="sk-SK"/>
        </w:rPr>
        <w:t>(</w:t>
      </w:r>
      <w:proofErr w:type="spellStart"/>
      <w:r w:rsidRPr="004F6B5E">
        <w:rPr>
          <w:rFonts w:asciiTheme="minorHAnsi" w:hAnsiTheme="minorHAnsi" w:cstheme="minorHAnsi"/>
          <w:bCs/>
          <w:i/>
          <w:sz w:val="22"/>
          <w:szCs w:val="22"/>
          <w:lang w:val="sk-SK"/>
        </w:rPr>
        <w:t>ii</w:t>
      </w:r>
      <w:proofErr w:type="spellEnd"/>
      <w:r w:rsidRPr="004F6B5E">
        <w:rPr>
          <w:rFonts w:asciiTheme="minorHAnsi" w:hAnsiTheme="minorHAnsi" w:cstheme="minorHAnsi"/>
          <w:bCs/>
          <w:i/>
          <w:sz w:val="22"/>
          <w:szCs w:val="22"/>
          <w:lang w:val="sk-SK"/>
        </w:rPr>
        <w:t>)</w:t>
      </w:r>
      <w:r w:rsidRPr="004F6B5E">
        <w:rPr>
          <w:rFonts w:asciiTheme="minorHAnsi" w:hAnsiTheme="minorHAnsi" w:cstheme="minorHAnsi"/>
          <w:bCs/>
          <w:sz w:val="22"/>
          <w:szCs w:val="22"/>
          <w:lang w:val="sk-SK"/>
        </w:rPr>
        <w:t xml:space="preserve"> variabilnej odmeny, ktorá sa vypočíta z hodnoty uspokojených peňažných pohľadávok. Jednotlivé tarify odmien, ako aj spôsob ich výpočtu, stanoví Vyhláška.</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Účinky vstupu do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Cs/>
          <w:sz w:val="22"/>
          <w:szCs w:val="22"/>
          <w:lang w:val="sk-SK"/>
        </w:rPr>
        <w:t>S cieľom posilniť právnu istotu</w:t>
      </w:r>
      <w:r w:rsidRPr="004F6B5E">
        <w:rPr>
          <w:rFonts w:asciiTheme="minorHAnsi" w:hAnsiTheme="minorHAnsi" w:cstheme="minorHAnsi"/>
          <w:sz w:val="22"/>
          <w:szCs w:val="22"/>
          <w:lang w:val="sk-SK"/>
        </w:rPr>
        <w:t xml:space="preserve"> tretích osôb,</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Novela zavádza nový účinok vstupu spoločnosti do likvidácie, a to zánik jednostranných právnych úkonov, najmä splnomocnení, príkazov, poverení a prokúry, s výnimkou procesných splnomocnení na zastupovanie spoločnosti v súdnych konaniach.</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Kým podľa doterajšej úpravy prešla na likvidátora jeho ustanovením do funkcie pôsobnosť štatutárneho orgánu v rozsahu úkonov smerujúcich k likvidácii spoločnosti, od účinnosti Novely prechádza na likvidátora, momentom vstupu spoločnosti do likvidácie, kompletná pôsobnosť štatutárneho orgánu (navonok aj dovnútra), s výnimkou jediného oprávnenia - zvolať zasadnutie najvyššieho orgánu spoločnosti.</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Postup likvidátora pri likvidácii</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
          <w:sz w:val="22"/>
          <w:szCs w:val="22"/>
          <w:lang w:val="sk-SK"/>
        </w:rPr>
        <w:t>Oznámenie o vstupe do likvidácie a výzva na prihlásenie pohľadávok (</w:t>
      </w:r>
      <w:proofErr w:type="spellStart"/>
      <w:r w:rsidRPr="004F6B5E">
        <w:rPr>
          <w:rFonts w:asciiTheme="minorHAnsi" w:hAnsiTheme="minorHAnsi" w:cstheme="minorHAnsi"/>
          <w:b/>
          <w:sz w:val="22"/>
          <w:szCs w:val="22"/>
          <w:lang w:val="sk-SK"/>
        </w:rPr>
        <w:t>konvokácia</w:t>
      </w:r>
      <w:proofErr w:type="spellEnd"/>
      <w:r w:rsidRPr="004F6B5E">
        <w:rPr>
          <w:rFonts w:asciiTheme="minorHAnsi" w:hAnsiTheme="minorHAnsi" w:cstheme="minorHAnsi"/>
          <w:b/>
          <w:sz w:val="22"/>
          <w:szCs w:val="22"/>
          <w:lang w:val="sk-SK"/>
        </w:rPr>
        <w:t>)</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Kým súčasná právna úprava explicitne neupravuje, kedy je likvidátor povinný oznámiť</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 xml:space="preserve">známym veriteľom vstup spoločnosti do likvidácie, Novela stanovuje, že likvidátor tak má urobiť bezodkladne. Novela </w:t>
      </w:r>
      <w:proofErr w:type="spellStart"/>
      <w:r w:rsidRPr="004F6B5E">
        <w:rPr>
          <w:rFonts w:asciiTheme="minorHAnsi" w:hAnsiTheme="minorHAnsi" w:cstheme="minorHAnsi"/>
          <w:sz w:val="22"/>
          <w:szCs w:val="22"/>
          <w:lang w:val="sk-SK"/>
        </w:rPr>
        <w:t>naviac</w:t>
      </w:r>
      <w:proofErr w:type="spellEnd"/>
      <w:r w:rsidRPr="004F6B5E">
        <w:rPr>
          <w:rFonts w:asciiTheme="minorHAnsi" w:hAnsiTheme="minorHAnsi" w:cstheme="minorHAnsi"/>
          <w:sz w:val="22"/>
          <w:szCs w:val="22"/>
          <w:lang w:val="sk-SK"/>
        </w:rPr>
        <w:t xml:space="preserve"> oprávňuje súd, aby uložil likvidátorovi povinnosť zopakovať výzvu na prihlásenie pohľadávok známych veriteľov, najmä, ak dôjde k zmene likvidátora. </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 xml:space="preserve">Vo vzťahu k výzve veriteľov na prihlásenie pohľadávok Novela upúšťa od ustanovenia minimálnej trojmesačnej lehoty, v rámci ktorej majú byť prihlásené pohľadávky veriteľov. Na druhej strane však stanovuje minimálne trvanie likvidácie (minimálne 6 mesiacov od </w:t>
      </w:r>
      <w:proofErr w:type="spellStart"/>
      <w:r w:rsidRPr="004F6B5E">
        <w:rPr>
          <w:rFonts w:asciiTheme="minorHAnsi" w:hAnsiTheme="minorHAnsi" w:cstheme="minorHAnsi"/>
          <w:sz w:val="22"/>
          <w:szCs w:val="22"/>
          <w:lang w:val="sk-SK"/>
        </w:rPr>
        <w:t>konvokácie</w:t>
      </w:r>
      <w:proofErr w:type="spellEnd"/>
      <w:r w:rsidRPr="004F6B5E">
        <w:rPr>
          <w:rFonts w:asciiTheme="minorHAnsi" w:hAnsiTheme="minorHAnsi" w:cstheme="minorHAnsi"/>
          <w:sz w:val="22"/>
          <w:szCs w:val="22"/>
          <w:lang w:val="sk-SK"/>
        </w:rPr>
        <w:t>, s možnosťou predĺženia o ďalších 6 mesiacov, ak likvidátor zistí, že spoločnosť má daňový nedoplatok, alebo ak sa u nej vykonáva daňová kontrola).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
          <w:sz w:val="22"/>
          <w:szCs w:val="22"/>
          <w:lang w:val="sk-SK"/>
        </w:rPr>
        <w:lastRenderedPageBreak/>
        <w:t>Prihlasovanie pohľadávok do likvidácie</w:t>
      </w:r>
      <w:r w:rsidRPr="004F6B5E">
        <w:rPr>
          <w:rFonts w:asciiTheme="minorHAnsi" w:hAnsiTheme="minorHAnsi" w:cstheme="minorHAnsi"/>
          <w:bCs/>
          <w:sz w:val="22"/>
          <w:szCs w:val="22"/>
          <w:lang w:val="sk-SK"/>
        </w:rPr>
        <w:t xml:space="preserve">. Novela precizuje postup prihlasovania pohľadávok veriteľov do likvidácie. Veritelia </w:t>
      </w:r>
      <w:r w:rsidRPr="004F6B5E">
        <w:rPr>
          <w:rFonts w:asciiTheme="minorHAnsi" w:hAnsiTheme="minorHAnsi" w:cstheme="minorHAnsi"/>
          <w:sz w:val="22"/>
          <w:szCs w:val="22"/>
          <w:lang w:val="sk-SK"/>
        </w:rPr>
        <w:t xml:space="preserve">majú právo prihlásiť svoje pohľadávky a iné práva do likvidácie prihláškou doručenou na adresu nehnuteľnosti, uvedenú likvidátorom v oznámení o vstupe do likvidácie, a to bez ohľadu na ich splatnosť. Adresa na doručovanie prihlášok do likvidácie musí byť na území Slovenskej republiky a musí umožňovať doručenie bez prieťahov, spravidla sa ňou rozumie </w:t>
      </w:r>
      <w:r w:rsidRPr="004F6B5E">
        <w:rPr>
          <w:rFonts w:asciiTheme="minorHAnsi" w:hAnsiTheme="minorHAnsi" w:cstheme="minorHAnsi"/>
          <w:i/>
          <w:sz w:val="22"/>
          <w:szCs w:val="22"/>
          <w:lang w:val="sk-SK"/>
        </w:rPr>
        <w:t>(i)</w:t>
      </w:r>
      <w:r w:rsidRPr="004F6B5E">
        <w:rPr>
          <w:rFonts w:asciiTheme="minorHAnsi" w:hAnsiTheme="minorHAnsi" w:cstheme="minorHAnsi"/>
          <w:sz w:val="22"/>
          <w:szCs w:val="22"/>
          <w:lang w:val="sk-SK"/>
        </w:rPr>
        <w:t xml:space="preserve"> bydlisko likvidátora fyzickej osoby,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ii</w:t>
      </w:r>
      <w:proofErr w:type="spellEnd"/>
      <w:r w:rsidRPr="004F6B5E">
        <w:rPr>
          <w:rFonts w:asciiTheme="minorHAnsi" w:hAnsiTheme="minorHAnsi" w:cstheme="minorHAnsi"/>
          <w:i/>
          <w:sz w:val="22"/>
          <w:szCs w:val="22"/>
          <w:lang w:val="sk-SK"/>
        </w:rPr>
        <w:t>)</w:t>
      </w:r>
      <w:r w:rsidRPr="004F6B5E">
        <w:rPr>
          <w:rFonts w:asciiTheme="minorHAnsi" w:hAnsiTheme="minorHAnsi" w:cstheme="minorHAnsi"/>
          <w:sz w:val="22"/>
          <w:szCs w:val="22"/>
          <w:lang w:val="sk-SK"/>
        </w:rPr>
        <w:t xml:space="preserve"> adresa kancelárie správcu konkurznej podstaty alebo </w:t>
      </w:r>
      <w:r w:rsidRPr="004F6B5E">
        <w:rPr>
          <w:rFonts w:asciiTheme="minorHAnsi" w:hAnsiTheme="minorHAnsi" w:cstheme="minorHAnsi"/>
          <w:i/>
          <w:sz w:val="22"/>
          <w:szCs w:val="22"/>
          <w:lang w:val="sk-SK"/>
        </w:rPr>
        <w:t>(</w:t>
      </w:r>
      <w:proofErr w:type="spellStart"/>
      <w:r w:rsidRPr="004F6B5E">
        <w:rPr>
          <w:rFonts w:asciiTheme="minorHAnsi" w:hAnsiTheme="minorHAnsi" w:cstheme="minorHAnsi"/>
          <w:i/>
          <w:sz w:val="22"/>
          <w:szCs w:val="22"/>
          <w:lang w:val="sk-SK"/>
        </w:rPr>
        <w:t>iii</w:t>
      </w:r>
      <w:proofErr w:type="spellEnd"/>
      <w:r w:rsidRPr="004F6B5E">
        <w:rPr>
          <w:rFonts w:asciiTheme="minorHAnsi" w:hAnsiTheme="minorHAnsi" w:cstheme="minorHAnsi"/>
          <w:i/>
          <w:sz w:val="22"/>
          <w:szCs w:val="22"/>
          <w:lang w:val="sk-SK"/>
        </w:rPr>
        <w:t>)</w:t>
      </w:r>
      <w:r w:rsidRPr="004F6B5E">
        <w:rPr>
          <w:rFonts w:asciiTheme="minorHAnsi" w:hAnsiTheme="minorHAnsi" w:cstheme="minorHAnsi"/>
          <w:sz w:val="22"/>
          <w:szCs w:val="22"/>
          <w:lang w:val="sk-SK"/>
        </w:rPr>
        <w:t xml:space="preserve"> sídlo spoločnosti. Neprihlásenie pohľadávky alebo iného práva nemá vplyv na trvanie tejto pohľadávky či práva.</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Zoznam pohľadávok a zoznam majetku</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 xml:space="preserve">Za účelom zabezpečenia transparentnosti prihlásených pohľadávok veriteľov, zaviedla Novela inštitút zoznamu pohľadávok. Podobne ako v konkurze, do zoznamu pohľadávok likvidátor postupne zapisuje jednotlivé prihlásené pohľadávky. Základný zoznam pohľadávok je likvidátor povinný vyhotoviť ku dňu uplynutia 45 dní od zverejnenia oznámenia o vstupe spoločnosti do likvidácie. Zároveň je likvidátor povinný uložiť tento zoznam pohľadávok do zbierky listín najneskôr do uplynutia 30 dní od jeho vyhotovenia. Obdobne je likvidátor povinný postupovať pri zisťovaní, evidovaní a zverejňovaní majetku spoločnosti. Náležitosti zoznamu majetku stanoví osobitný predpis (Vyhláška). Zoznam majetku má obsahovať okrem iného aj odhad hodnoty majetku, ktorú je likvidátor povinný stanoviť s odbornou starostlivosťou (napríklad pomocou znaleckého posudku). </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Mimoriadna účtovná závierka</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bCs/>
          <w:sz w:val="22"/>
          <w:szCs w:val="22"/>
          <w:lang w:val="sk-SK"/>
        </w:rPr>
        <w:t xml:space="preserve">Po novom likvidátor </w:t>
      </w:r>
      <w:r w:rsidRPr="004F6B5E">
        <w:rPr>
          <w:rFonts w:asciiTheme="minorHAnsi" w:hAnsiTheme="minorHAnsi" w:cstheme="minorHAnsi"/>
          <w:sz w:val="22"/>
          <w:szCs w:val="22"/>
          <w:lang w:val="sk-SK"/>
        </w:rPr>
        <w:t>zostaví mimoriadnu účtovnú závierku ku dňu predchádzajúcemu dňu vstupu spoločnosti do likvidácie (teda nie ku dňu vstupu spoločnosti do likvidácie), t. j. ku dňu ktorý predchádza dňu zápisu likvidátora do obchodného registra.</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Povinnosť pri predĺžení</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bCs/>
          <w:sz w:val="22"/>
          <w:szCs w:val="22"/>
          <w:lang w:val="sk-SK"/>
        </w:rPr>
        <w:t>Aj naďalej je likvidátor povinný bezodkladne podať návrh na vyhlásenie konkurzu na m</w:t>
      </w:r>
      <w:r w:rsidRPr="004F6B5E">
        <w:rPr>
          <w:rFonts w:asciiTheme="minorHAnsi" w:hAnsiTheme="minorHAnsi" w:cstheme="minorHAnsi"/>
          <w:sz w:val="22"/>
          <w:szCs w:val="22"/>
          <w:lang w:val="sk-SK"/>
        </w:rPr>
        <w:t xml:space="preserve">ajetok spoločnosti, ak zistí predĺženie spoločnosti. To však po novom výslovne neplatí v prípade, ak konkurz alebo konkurzné konanie bolo už ukončené pre nedostatok majetku. </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
          <w:sz w:val="22"/>
          <w:szCs w:val="22"/>
          <w:lang w:val="sk-SK"/>
        </w:rPr>
        <w:t>Uspokojovanie pohľadávok</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Právna úprava likvidácie doposiaľ výslovne neupravovala spôsob a poradie uspokojenia jednotlivých pohľadávok. Podľa zákonodarcu je však potrebné, so zreteľom na spravodlivé usporiadanie vzťahov, zohľadňovať rozdiely medzi nárokmi jednotlivých veriteľov, ako aj medzi nárokmi veriteľov a prípadných reziduálnych spoločníkov. Preto Novela stanovuje nasledovné pravidlá uspokojovania pohľadávok:</w:t>
      </w:r>
    </w:p>
    <w:p w:rsidR="004F6B5E" w:rsidRPr="004F6B5E" w:rsidRDefault="004F6B5E" w:rsidP="004F6B5E">
      <w:pPr>
        <w:numPr>
          <w:ilvl w:val="0"/>
          <w:numId w:val="18"/>
        </w:num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nárok na vrátenie Preddavku (ak bol zložený do notárskej úschovy iným subjektom ako likvidovanou spoločnosťou) má prednosť pred uspokojením iných pohľadávok;</w:t>
      </w:r>
    </w:p>
    <w:p w:rsidR="004F6B5E" w:rsidRPr="004F6B5E" w:rsidRDefault="004F6B5E" w:rsidP="004F6B5E">
      <w:pPr>
        <w:numPr>
          <w:ilvl w:val="0"/>
          <w:numId w:val="18"/>
        </w:num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pohľadávky veriteľov majú prednosť pred pohľadávkami spriaznených veriteľov spoločnosti (t. j. pred pohľadávkami, ktoré by sa v prípade vyhlásenia konkurzu na majetok spoločnosti uspokojovali v poradí ako podriadené) a majú sa uspokojovať priebežne a</w:t>
      </w:r>
    </w:p>
    <w:p w:rsidR="004F6B5E" w:rsidRPr="004F6B5E" w:rsidRDefault="004F6B5E" w:rsidP="004F6B5E">
      <w:pPr>
        <w:numPr>
          <w:ilvl w:val="0"/>
          <w:numId w:val="18"/>
        </w:numPr>
        <w:spacing w:after="200"/>
        <w:jc w:val="both"/>
        <w:rPr>
          <w:rFonts w:asciiTheme="minorHAnsi" w:hAnsiTheme="minorHAnsi" w:cstheme="minorHAnsi"/>
          <w:b/>
          <w:sz w:val="22"/>
          <w:szCs w:val="22"/>
          <w:lang w:val="sk-SK"/>
        </w:rPr>
      </w:pPr>
      <w:r w:rsidRPr="004F6B5E">
        <w:rPr>
          <w:rFonts w:asciiTheme="minorHAnsi" w:hAnsiTheme="minorHAnsi" w:cstheme="minorHAnsi"/>
          <w:sz w:val="22"/>
          <w:szCs w:val="22"/>
          <w:lang w:val="sk-SK"/>
        </w:rPr>
        <w:t>najskôr musia byť uspokojené nároky všetkých známych veriteľov spoločnosti a až následne možno poskytnúť plnenie spoločníkom z dôvodu ich nároku na podiel na likvidačnom zostatku.</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V prípade neposkytnutia súčinnosti veriteľa, alebo ak známy veriteľ neprihlásil pohľadávku do likvidácie a pohľadávku nie je možné splniť inak, likvidátor uloží peňažné plnenie na trovy veriteľa do notárskej úschovy. Rovnako postupuje, ak veriteľ odoprie súčinnosť potrebnú na splnenie záväzku.</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Skončenie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Kým súčasná právna úprava neobsahuje žiadnu časovú limitáciu v súvislosti so skončením likvidácie, podľa Novely</w:t>
      </w:r>
      <w:r w:rsidRPr="004F6B5E">
        <w:rPr>
          <w:rFonts w:asciiTheme="minorHAnsi" w:hAnsiTheme="minorHAnsi" w:cstheme="minorHAnsi"/>
          <w:b/>
          <w:sz w:val="22"/>
          <w:szCs w:val="22"/>
          <w:lang w:val="sk-SK"/>
        </w:rPr>
        <w:t xml:space="preserve"> </w:t>
      </w:r>
      <w:r w:rsidRPr="004F6B5E">
        <w:rPr>
          <w:rFonts w:asciiTheme="minorHAnsi" w:hAnsiTheme="minorHAnsi" w:cstheme="minorHAnsi"/>
          <w:bCs/>
          <w:sz w:val="22"/>
          <w:szCs w:val="22"/>
          <w:lang w:val="sk-SK"/>
        </w:rPr>
        <w:t xml:space="preserve">je </w:t>
      </w:r>
      <w:r w:rsidRPr="004F6B5E">
        <w:rPr>
          <w:rFonts w:asciiTheme="minorHAnsi" w:hAnsiTheme="minorHAnsi" w:cstheme="minorHAnsi"/>
          <w:sz w:val="22"/>
          <w:szCs w:val="22"/>
          <w:lang w:val="sk-SK"/>
        </w:rPr>
        <w:t>možné likvidáciu skončiť najskôr šesť mesiacov po oznámení likvidátora o vstupe spoločnosti do likvidácie</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sz w:val="22"/>
          <w:szCs w:val="22"/>
          <w:lang w:val="sk-SK"/>
        </w:rPr>
        <w:t>Minimálna lehota sa</w:t>
      </w:r>
      <w:r w:rsidRPr="004F6B5E">
        <w:rPr>
          <w:rFonts w:asciiTheme="minorHAnsi" w:hAnsiTheme="minorHAnsi" w:cstheme="minorHAnsi"/>
          <w:b/>
          <w:sz w:val="22"/>
          <w:szCs w:val="22"/>
          <w:lang w:val="sk-SK"/>
        </w:rPr>
        <w:t xml:space="preserve"> </w:t>
      </w:r>
      <w:r w:rsidRPr="004F6B5E">
        <w:rPr>
          <w:rFonts w:asciiTheme="minorHAnsi" w:hAnsiTheme="minorHAnsi" w:cstheme="minorHAnsi"/>
          <w:bCs/>
          <w:sz w:val="22"/>
          <w:szCs w:val="22"/>
          <w:lang w:val="sk-SK"/>
        </w:rPr>
        <w:t xml:space="preserve">vzťahuje </w:t>
      </w:r>
      <w:r w:rsidRPr="004F6B5E">
        <w:rPr>
          <w:rFonts w:asciiTheme="minorHAnsi" w:hAnsiTheme="minorHAnsi" w:cstheme="minorHAnsi"/>
          <w:sz w:val="22"/>
          <w:szCs w:val="22"/>
          <w:lang w:val="sk-SK"/>
        </w:rPr>
        <w:t xml:space="preserve">na zostavenie konečnej účtovnej závierky, konečnej správy o priebehu likvidácie a návrhu na rozdelenie likvidačného zostatku medzi oprávnené subjekty. Táto lehota sa predlžuje o ďalších šesť mesiacov, ak likvidátor zistí, že spoločnosť má ku dňu zostavenia účtovnej </w:t>
      </w:r>
      <w:r w:rsidRPr="004F6B5E">
        <w:rPr>
          <w:rFonts w:asciiTheme="minorHAnsi" w:hAnsiTheme="minorHAnsi" w:cstheme="minorHAnsi"/>
          <w:sz w:val="22"/>
          <w:szCs w:val="22"/>
          <w:lang w:val="sk-SK"/>
        </w:rPr>
        <w:lastRenderedPageBreak/>
        <w:t>závierky a konečnej správy o priebehu likvidácie daňový nedoplatok, alebo sa v spoločnosti vykonáva daňová kontrola. Novela zároveň dopĺňa povinnosť likvidátora bezodkladne zverejniť oznámenie o skončení likvidácie.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Konečná účtovná závierka, konečná správa a návrh rozdelenia likvidačného zostatku podliehajú, ako doposiaľ, schváleniu spoločníkmi, či príslušným orgánom spoločnosti. Ak však k schváleniu nedôjde ani do 60 dní od zverejnenia oznámenia o skončení likvidácie, tieto dokumenty sa považujú za schválené.</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Po schválení uvedených dokumentov (alebo potom, ako sa považujú za schválené), likvidátor zverejní oznámenie o ich schválení a bezodkladne poukáže likvidačný zostatok tým, ktorým naň vzniklo právo.</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Právo nahliadania</w:t>
      </w:r>
      <w:r w:rsidRPr="004F6B5E">
        <w:rPr>
          <w:rFonts w:asciiTheme="minorHAnsi" w:hAnsiTheme="minorHAnsi" w:cstheme="minorHAnsi"/>
          <w:bCs/>
          <w:sz w:val="22"/>
          <w:szCs w:val="22"/>
          <w:lang w:val="sk-SK"/>
        </w:rPr>
        <w:t>.</w:t>
      </w:r>
      <w:r w:rsidRPr="004F6B5E">
        <w:rPr>
          <w:rFonts w:asciiTheme="minorHAnsi" w:hAnsiTheme="minorHAnsi" w:cstheme="minorHAnsi"/>
          <w:b/>
          <w:sz w:val="22"/>
          <w:szCs w:val="22"/>
          <w:lang w:val="sk-SK"/>
        </w:rPr>
        <w:t xml:space="preserve"> </w:t>
      </w:r>
      <w:r w:rsidRPr="004F6B5E">
        <w:rPr>
          <w:rFonts w:asciiTheme="minorHAnsi" w:hAnsiTheme="minorHAnsi" w:cstheme="minorHAnsi"/>
          <w:bCs/>
          <w:sz w:val="22"/>
          <w:szCs w:val="22"/>
          <w:lang w:val="sk-SK"/>
        </w:rPr>
        <w:t xml:space="preserve">Každý </w:t>
      </w:r>
      <w:r w:rsidRPr="004F6B5E">
        <w:rPr>
          <w:rFonts w:asciiTheme="minorHAnsi" w:hAnsiTheme="minorHAnsi" w:cstheme="minorHAnsi"/>
          <w:sz w:val="22"/>
          <w:szCs w:val="22"/>
          <w:lang w:val="sk-SK"/>
        </w:rPr>
        <w:t>spoločník likvidovanej spoločnosti má právo nahliadnuť do účtovnej závierky, konečnej správy o priebehu likvidácie a návrhu na rozdelenie likvidačného zostatku.</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
          <w:sz w:val="22"/>
          <w:szCs w:val="22"/>
          <w:lang w:val="sk-SK"/>
        </w:rPr>
        <w:t>Návrh na výmaz spoločnosti z obchodného registra</w:t>
      </w:r>
      <w:r w:rsidRPr="004F6B5E">
        <w:rPr>
          <w:rFonts w:asciiTheme="minorHAnsi" w:hAnsiTheme="minorHAnsi" w:cstheme="minorHAnsi"/>
          <w:bCs/>
          <w:sz w:val="22"/>
          <w:szCs w:val="22"/>
          <w:lang w:val="sk-SK"/>
        </w:rPr>
        <w:t xml:space="preserve">. K návrhu na výmaz spoločnosti z obchodného registra je likvidátor po novom povinný priložiť okrem účtovnej závierky, konečnej správy o priebehu likvidácie a návrhu na rozdelenie likvidačného zostatku, aj </w:t>
      </w:r>
      <w:r w:rsidRPr="004F6B5E">
        <w:rPr>
          <w:rFonts w:asciiTheme="minorHAnsi" w:hAnsiTheme="minorHAnsi" w:cstheme="minorHAnsi"/>
          <w:sz w:val="22"/>
          <w:szCs w:val="22"/>
          <w:lang w:val="sk-SK"/>
        </w:rPr>
        <w:t xml:space="preserve">písomné vyhlásenie o neexistencii daňového nedoplatku alebo o ukončení daňovej kontroly (ak došlo k predĺženiu minimálneho trvania likvidácie z uvedených dôvodov), pričom podpis likvidátora na tomto vyhlásení musí byť úradne osvedčený. Nevyžaduje sa však už doloženie súhlasu príslušného správcu dane a súhlasu Sociálnej poisťovne. </w:t>
      </w:r>
    </w:p>
    <w:p w:rsidR="004F6B5E" w:rsidRPr="004F6B5E" w:rsidRDefault="004F6B5E" w:rsidP="004F6B5E">
      <w:pPr>
        <w:pStyle w:val="Odsekzoznamu"/>
        <w:numPr>
          <w:ilvl w:val="0"/>
          <w:numId w:val="14"/>
        </w:numPr>
        <w:spacing w:after="200"/>
        <w:ind w:left="567" w:hanging="567"/>
        <w:contextualSpacing w:val="0"/>
        <w:jc w:val="both"/>
        <w:rPr>
          <w:rFonts w:asciiTheme="minorHAnsi" w:hAnsiTheme="minorHAnsi" w:cstheme="minorHAnsi"/>
          <w:b/>
          <w:sz w:val="22"/>
          <w:szCs w:val="22"/>
          <w:lang w:val="sk-SK"/>
        </w:rPr>
      </w:pPr>
      <w:r w:rsidRPr="004F6B5E">
        <w:rPr>
          <w:rFonts w:asciiTheme="minorHAnsi" w:hAnsiTheme="minorHAnsi" w:cstheme="minorHAnsi"/>
          <w:b/>
          <w:sz w:val="22"/>
          <w:szCs w:val="22"/>
          <w:lang w:val="sk-SK"/>
        </w:rPr>
        <w:t>Dodatočná likvidácia</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bCs/>
          <w:sz w:val="22"/>
          <w:szCs w:val="22"/>
          <w:lang w:val="sk-SK"/>
        </w:rPr>
        <w:t xml:space="preserve">Po novom </w:t>
      </w:r>
      <w:r w:rsidRPr="004F6B5E">
        <w:rPr>
          <w:rFonts w:asciiTheme="minorHAnsi" w:hAnsiTheme="minorHAnsi" w:cstheme="minorHAnsi"/>
          <w:sz w:val="22"/>
          <w:szCs w:val="22"/>
          <w:lang w:val="sk-SK"/>
        </w:rPr>
        <w:t>môže podať návrh na dodatočnú likvidáciu každý, kto osvedčí, že má na nariadení dodatočnej likvidácie právny záujem. Právny záujem na nariadení dodatočnej likvidácie budú mať spravidla tie isté osoby, ktoré môžu iniciovať začatie dodatočnej likvidácie pred účinnosťou Novely (t. j. štátny orgán, bývalý štatutárny orgán, spoločník, veriteľ, dlžník). Návrh je potrebné podať najneskôr do 4 rokov od výmazu spoločnosti z obchodného registra. Ak návrh nie je podaný včas, všetky dodatočné majetkové hodnoty spoločnosti pripadajú do vlastníctva štátu. Navrhovateľ dodatočnej likvidácie je povinný zložiť preddavok na (dodatočnú) likvidáciu do notárskej úschovy a túto skutočnosť osvedčiť súdu buď súčasne s podaním návrhu na nariadene dodatočnej likvidácie a ustanovenie likvidátora alebo najneskôr na výzvu súdu v stanovenej primeranej lehote, inak súd konanie zastaví. Proti rozhodnutiu o zastavení konania nie je prípustné odvolanie.</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Ak sú splnené všetky podmienky pre nariadenie dodatočnej likvidácie, súd ju uznesením nariadi. Likvidátor je povinný také uznesenie zverejniť. Registrový súd zároveň obnoví zápis spoločnosti v obchodnom registri, a to v rozsahu údajov zapísaných v obchodnom registri do jej výmazu, s doplnením údajov o nariadenej dodatočnej likvidácii a o ustanovenom likvidátorovi dodatočnej likvidácie. Znovu zapísaná spoločnosť používa svoje pôvodné obchodné meno s dodatkom "v dodatočnej likvidácii".</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sz w:val="22"/>
          <w:szCs w:val="22"/>
          <w:lang w:val="sk-SK"/>
        </w:rPr>
        <w:t>Ako generálne pravidlo platí, že nariadenie dodatočnej likvidácie nemá vplyv na už ukončenú likvidáciu alebo konkurz. Táto zásada je však prelomená vtedy, ak zistený ďalší majetok nepostačuje na uspokojenie veriteľov, a zároveň niektorý recipient prijal podiel na likvidačnom zostatku nedobromyseľne. V takom prípade je nedobromyseľný recipient povinný vrátiť prijatý podiel v prospech veriteľov.</w:t>
      </w:r>
    </w:p>
    <w:p w:rsidR="004F6B5E" w:rsidRPr="004F6B5E" w:rsidRDefault="004F6B5E" w:rsidP="004F6B5E">
      <w:pPr>
        <w:spacing w:after="200"/>
        <w:jc w:val="both"/>
        <w:rPr>
          <w:rFonts w:asciiTheme="minorHAnsi" w:hAnsiTheme="minorHAnsi" w:cstheme="minorHAnsi"/>
          <w:b/>
          <w:sz w:val="22"/>
          <w:szCs w:val="22"/>
          <w:lang w:val="sk-SK"/>
        </w:rPr>
      </w:pPr>
      <w:r w:rsidRPr="004F6B5E">
        <w:rPr>
          <w:rFonts w:asciiTheme="minorHAnsi" w:hAnsiTheme="minorHAnsi" w:cstheme="minorHAnsi"/>
          <w:sz w:val="22"/>
          <w:szCs w:val="22"/>
          <w:lang w:val="sk-SK"/>
        </w:rPr>
        <w:t xml:space="preserve">Novela výslovne rieši problematiku premlčania v súvislosti s dodatočnou likvidáciou, vo vzťahu k neuspokojeným pohľadávkam, prípadne iným právam voči spoločnosti, ktoré existovali v čase zániku spoločnosti, a to tak, že tieto pohľadávky a iné práva </w:t>
      </w:r>
      <w:r w:rsidRPr="004F6B5E">
        <w:rPr>
          <w:rFonts w:asciiTheme="minorHAnsi" w:hAnsiTheme="minorHAnsi" w:cstheme="minorHAnsi"/>
          <w:i/>
          <w:iCs/>
          <w:sz w:val="22"/>
          <w:szCs w:val="22"/>
          <w:lang w:val="sk-SK"/>
        </w:rPr>
        <w:t xml:space="preserve">(i) </w:t>
      </w:r>
      <w:r w:rsidRPr="004F6B5E">
        <w:rPr>
          <w:rFonts w:asciiTheme="minorHAnsi" w:hAnsiTheme="minorHAnsi" w:cstheme="minorHAnsi"/>
          <w:sz w:val="22"/>
          <w:szCs w:val="22"/>
          <w:lang w:val="sk-SK"/>
        </w:rPr>
        <w:t xml:space="preserve">sa uznesením súdu o nariadení dodatočnej likvidácie a ustanovení likvidátora obnovujú,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ii</w:t>
      </w:r>
      <w:proofErr w:type="spellEnd"/>
      <w:r w:rsidRPr="004F6B5E">
        <w:rPr>
          <w:rFonts w:asciiTheme="minorHAnsi" w:hAnsiTheme="minorHAnsi" w:cstheme="minorHAnsi"/>
          <w:i/>
          <w:iCs/>
          <w:sz w:val="22"/>
          <w:szCs w:val="22"/>
          <w:lang w:val="sk-SK"/>
        </w:rPr>
        <w:t xml:space="preserve">) </w:t>
      </w:r>
      <w:r w:rsidRPr="004F6B5E">
        <w:rPr>
          <w:rFonts w:asciiTheme="minorHAnsi" w:hAnsiTheme="minorHAnsi" w:cstheme="minorHAnsi"/>
          <w:sz w:val="22"/>
          <w:szCs w:val="22"/>
          <w:lang w:val="sk-SK"/>
        </w:rPr>
        <w:t xml:space="preserve">počas doby, po ktorú bola spoločnosť vymazaná z obchodného registra, neplynie vo vzťahu k nim premlčacia doba a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iii</w:t>
      </w:r>
      <w:proofErr w:type="spellEnd"/>
      <w:r w:rsidRPr="004F6B5E">
        <w:rPr>
          <w:rFonts w:asciiTheme="minorHAnsi" w:hAnsiTheme="minorHAnsi" w:cstheme="minorHAnsi"/>
          <w:i/>
          <w:iCs/>
          <w:sz w:val="22"/>
          <w:szCs w:val="22"/>
          <w:lang w:val="sk-SK"/>
        </w:rPr>
        <w:t>)</w:t>
      </w:r>
      <w:r w:rsidRPr="004F6B5E">
        <w:rPr>
          <w:rFonts w:asciiTheme="minorHAnsi" w:hAnsiTheme="minorHAnsi" w:cstheme="minorHAnsi"/>
          <w:sz w:val="22"/>
          <w:szCs w:val="22"/>
          <w:lang w:val="sk-SK"/>
        </w:rPr>
        <w:t xml:space="preserve"> </w:t>
      </w:r>
      <w:r w:rsidRPr="004F6B5E">
        <w:rPr>
          <w:rFonts w:asciiTheme="minorHAnsi" w:hAnsiTheme="minorHAnsi" w:cstheme="minorHAnsi"/>
          <w:bCs/>
          <w:sz w:val="22"/>
          <w:szCs w:val="22"/>
          <w:lang w:val="sk-SK"/>
        </w:rPr>
        <w:t xml:space="preserve">premlčacia </w:t>
      </w:r>
      <w:r w:rsidRPr="004F6B5E">
        <w:rPr>
          <w:rFonts w:asciiTheme="minorHAnsi" w:hAnsiTheme="minorHAnsi" w:cstheme="minorHAnsi"/>
          <w:sz w:val="22"/>
          <w:szCs w:val="22"/>
          <w:lang w:val="sk-SK"/>
        </w:rPr>
        <w:t>doba</w:t>
      </w:r>
      <w:r w:rsidRPr="004F6B5E">
        <w:rPr>
          <w:rFonts w:asciiTheme="minorHAnsi" w:hAnsiTheme="minorHAnsi" w:cstheme="minorHAnsi"/>
          <w:bCs/>
          <w:sz w:val="22"/>
          <w:szCs w:val="22"/>
          <w:lang w:val="sk-SK"/>
        </w:rPr>
        <w:t xml:space="preserve"> sa vo vzťahu k nim predlžuje tak, že neuplynie skôr, </w:t>
      </w:r>
      <w:r w:rsidRPr="004F6B5E">
        <w:rPr>
          <w:rFonts w:asciiTheme="minorHAnsi" w:hAnsiTheme="minorHAnsi" w:cstheme="minorHAnsi"/>
          <w:sz w:val="22"/>
          <w:szCs w:val="22"/>
          <w:lang w:val="sk-SK"/>
        </w:rPr>
        <w:t>ako</w:t>
      </w:r>
      <w:r w:rsidRPr="004F6B5E">
        <w:rPr>
          <w:rFonts w:asciiTheme="minorHAnsi" w:hAnsiTheme="minorHAnsi" w:cstheme="minorHAnsi"/>
          <w:bCs/>
          <w:sz w:val="22"/>
          <w:szCs w:val="22"/>
          <w:lang w:val="sk-SK"/>
        </w:rPr>
        <w:t xml:space="preserve"> jeden rok od nariadenia dodatočnej likvidácie.</w:t>
      </w:r>
    </w:p>
    <w:p w:rsidR="004F6B5E" w:rsidRPr="004F6B5E" w:rsidRDefault="004F6B5E" w:rsidP="008527B1">
      <w:pPr>
        <w:pStyle w:val="Odsekzoznamu"/>
        <w:keepNext/>
        <w:numPr>
          <w:ilvl w:val="0"/>
          <w:numId w:val="14"/>
        </w:numPr>
        <w:spacing w:after="200"/>
        <w:ind w:left="567" w:hanging="567"/>
        <w:contextualSpacing w:val="0"/>
        <w:jc w:val="both"/>
        <w:rPr>
          <w:rFonts w:asciiTheme="minorHAnsi" w:hAnsiTheme="minorHAnsi" w:cstheme="minorHAnsi"/>
          <w:b/>
          <w:sz w:val="22"/>
          <w:szCs w:val="22"/>
          <w:lang w:val="sk-SK"/>
        </w:rPr>
      </w:pPr>
      <w:bookmarkStart w:id="0" w:name="_GoBack"/>
      <w:r w:rsidRPr="004F6B5E">
        <w:rPr>
          <w:rFonts w:asciiTheme="minorHAnsi" w:hAnsiTheme="minorHAnsi" w:cstheme="minorHAnsi"/>
          <w:b/>
          <w:sz w:val="22"/>
          <w:szCs w:val="22"/>
          <w:lang w:val="sk-SK"/>
        </w:rPr>
        <w:lastRenderedPageBreak/>
        <w:t>Presah novely v iných právnych predpisoch</w:t>
      </w:r>
    </w:p>
    <w:p w:rsidR="004F6B5E" w:rsidRPr="004F6B5E" w:rsidRDefault="004F6B5E" w:rsidP="008527B1">
      <w:pPr>
        <w:keepNext/>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 xml:space="preserve">Novela presahuje okrem Obchodného zákonníka aj do iných právnych predpisov, a to najmä do </w:t>
      </w:r>
      <w:r w:rsidRPr="004F6B5E">
        <w:rPr>
          <w:rFonts w:asciiTheme="minorHAnsi" w:hAnsiTheme="minorHAnsi" w:cstheme="minorHAnsi"/>
          <w:i/>
          <w:iCs/>
          <w:sz w:val="22"/>
          <w:szCs w:val="22"/>
          <w:lang w:val="sk-SK"/>
        </w:rPr>
        <w:t xml:space="preserve">(a) </w:t>
      </w:r>
      <w:r w:rsidRPr="004F6B5E">
        <w:rPr>
          <w:rFonts w:asciiTheme="minorHAnsi" w:hAnsiTheme="minorHAnsi" w:cstheme="minorHAnsi"/>
          <w:sz w:val="22"/>
          <w:szCs w:val="22"/>
          <w:lang w:val="sk-SK"/>
        </w:rPr>
        <w:t xml:space="preserve">Civilného </w:t>
      </w:r>
      <w:proofErr w:type="spellStart"/>
      <w:r w:rsidRPr="004F6B5E">
        <w:rPr>
          <w:rFonts w:asciiTheme="minorHAnsi" w:hAnsiTheme="minorHAnsi" w:cstheme="minorHAnsi"/>
          <w:sz w:val="22"/>
          <w:szCs w:val="22"/>
          <w:lang w:val="sk-SK"/>
        </w:rPr>
        <w:t>mimosporového</w:t>
      </w:r>
      <w:proofErr w:type="spellEnd"/>
      <w:r w:rsidRPr="004F6B5E">
        <w:rPr>
          <w:rFonts w:asciiTheme="minorHAnsi" w:hAnsiTheme="minorHAnsi" w:cstheme="minorHAnsi"/>
          <w:sz w:val="22"/>
          <w:szCs w:val="22"/>
          <w:lang w:val="sk-SK"/>
        </w:rPr>
        <w:t xml:space="preserve"> poriadku, v ktorom najmä </w:t>
      </w:r>
      <w:r w:rsidRPr="004F6B5E">
        <w:rPr>
          <w:rFonts w:asciiTheme="minorHAnsi" w:hAnsiTheme="minorHAnsi" w:cstheme="minorHAnsi"/>
          <w:i/>
          <w:iCs/>
          <w:sz w:val="22"/>
          <w:szCs w:val="22"/>
          <w:lang w:val="sk-SK"/>
        </w:rPr>
        <w:t xml:space="preserve">(i) </w:t>
      </w:r>
      <w:r w:rsidRPr="004F6B5E">
        <w:rPr>
          <w:rFonts w:asciiTheme="minorHAnsi" w:hAnsiTheme="minorHAnsi" w:cstheme="minorHAnsi"/>
          <w:sz w:val="22"/>
          <w:szCs w:val="22"/>
          <w:lang w:val="sk-SK"/>
        </w:rPr>
        <w:t xml:space="preserve">mení procesné ustanovenia o konaní o zrušení právnickej osoby a </w:t>
      </w:r>
      <w:r w:rsidRPr="004F6B5E">
        <w:rPr>
          <w:rFonts w:asciiTheme="minorHAnsi" w:hAnsiTheme="minorHAnsi" w:cstheme="minorHAnsi"/>
          <w:i/>
          <w:iCs/>
          <w:sz w:val="22"/>
          <w:szCs w:val="22"/>
          <w:lang w:val="sk-SK"/>
        </w:rPr>
        <w:t>(</w:t>
      </w:r>
      <w:proofErr w:type="spellStart"/>
      <w:r w:rsidRPr="004F6B5E">
        <w:rPr>
          <w:rFonts w:asciiTheme="minorHAnsi" w:hAnsiTheme="minorHAnsi" w:cstheme="minorHAnsi"/>
          <w:i/>
          <w:iCs/>
          <w:sz w:val="22"/>
          <w:szCs w:val="22"/>
          <w:lang w:val="sk-SK"/>
        </w:rPr>
        <w:t>ii</w:t>
      </w:r>
      <w:proofErr w:type="spellEnd"/>
      <w:r w:rsidRPr="004F6B5E">
        <w:rPr>
          <w:rFonts w:asciiTheme="minorHAnsi" w:hAnsiTheme="minorHAnsi" w:cstheme="minorHAnsi"/>
          <w:i/>
          <w:iCs/>
          <w:sz w:val="22"/>
          <w:szCs w:val="22"/>
          <w:lang w:val="sk-SK"/>
        </w:rPr>
        <w:t xml:space="preserve">) </w:t>
      </w:r>
      <w:r w:rsidRPr="004F6B5E">
        <w:rPr>
          <w:rFonts w:asciiTheme="minorHAnsi" w:hAnsiTheme="minorHAnsi" w:cstheme="minorHAnsi"/>
          <w:sz w:val="22"/>
          <w:szCs w:val="22"/>
          <w:lang w:val="sk-SK"/>
        </w:rPr>
        <w:t xml:space="preserve">dopĺňa ustanovenia o nariadení dodatočnej likvidácie majetku a </w:t>
      </w:r>
      <w:r w:rsidRPr="004F6B5E">
        <w:rPr>
          <w:rFonts w:asciiTheme="minorHAnsi" w:hAnsiTheme="minorHAnsi" w:cstheme="minorHAnsi"/>
          <w:i/>
          <w:iCs/>
          <w:sz w:val="22"/>
          <w:szCs w:val="22"/>
          <w:lang w:val="sk-SK"/>
        </w:rPr>
        <w:t xml:space="preserve">(b) </w:t>
      </w:r>
      <w:bookmarkEnd w:id="0"/>
      <w:r w:rsidRPr="004F6B5E">
        <w:rPr>
          <w:rFonts w:asciiTheme="minorHAnsi" w:hAnsiTheme="minorHAnsi" w:cstheme="minorHAnsi"/>
          <w:sz w:val="22"/>
          <w:szCs w:val="22"/>
          <w:lang w:val="sk-SK"/>
        </w:rPr>
        <w:t>daňových a účtovných predpisov (najmä zákon o účtovníctve a zákon o dani z príjmov).</w:t>
      </w:r>
    </w:p>
    <w:p w:rsidR="004F6B5E" w:rsidRPr="004F6B5E" w:rsidRDefault="004F6B5E" w:rsidP="004F6B5E">
      <w:pPr>
        <w:spacing w:after="200"/>
        <w:jc w:val="both"/>
        <w:rPr>
          <w:rFonts w:asciiTheme="minorHAnsi" w:hAnsiTheme="minorHAnsi" w:cstheme="minorHAnsi"/>
          <w:sz w:val="22"/>
          <w:szCs w:val="22"/>
          <w:lang w:val="sk-SK"/>
        </w:rPr>
      </w:pPr>
      <w:r w:rsidRPr="004F6B5E">
        <w:rPr>
          <w:rFonts w:asciiTheme="minorHAnsi" w:hAnsiTheme="minorHAnsi" w:cstheme="minorHAnsi"/>
          <w:sz w:val="22"/>
          <w:szCs w:val="22"/>
          <w:lang w:val="sk-SK"/>
        </w:rPr>
        <w:t>***</w:t>
      </w:r>
    </w:p>
    <w:p w:rsidR="004F6B5E" w:rsidRPr="004F6B5E" w:rsidRDefault="004F6B5E" w:rsidP="004F6B5E">
      <w:pPr>
        <w:spacing w:after="200"/>
        <w:jc w:val="both"/>
        <w:rPr>
          <w:rFonts w:asciiTheme="minorHAnsi" w:hAnsiTheme="minorHAnsi" w:cstheme="minorHAnsi"/>
          <w:i/>
          <w:sz w:val="22"/>
          <w:szCs w:val="22"/>
          <w:lang w:val="sk-SK"/>
        </w:rPr>
      </w:pPr>
      <w:r w:rsidRPr="004F6B5E">
        <w:rPr>
          <w:rFonts w:asciiTheme="minorHAnsi" w:hAnsiTheme="minorHAnsi" w:cstheme="minorHAnsi"/>
          <w:i/>
          <w:sz w:val="22"/>
          <w:szCs w:val="22"/>
          <w:lang w:val="sk-SK"/>
        </w:rPr>
        <w:t>Informácie uvádzané v tomto texte nevyjadrujú právny názor a nie sú ani detailnou analýzou právneho predpisu. V prípade záujmu o akékoľvek ďalšie informácie, prosím neváhajte kontaktovať našu advokátsku kanceláriu.</w:t>
      </w:r>
    </w:p>
    <w:p w:rsidR="005A1621" w:rsidRPr="004F6B5E" w:rsidRDefault="005A1621" w:rsidP="00C329E1">
      <w:pPr>
        <w:jc w:val="both"/>
        <w:outlineLvl w:val="0"/>
        <w:rPr>
          <w:rFonts w:asciiTheme="minorHAnsi" w:hAnsiTheme="minorHAnsi" w:cstheme="minorHAnsi"/>
          <w:sz w:val="22"/>
          <w:szCs w:val="22"/>
          <w:lang w:val="sk-SK" w:eastAsia="sk-SK"/>
        </w:rPr>
      </w:pPr>
    </w:p>
    <w:sectPr w:rsidR="005A1621" w:rsidRPr="004F6B5E" w:rsidSect="00C329E1">
      <w:headerReference w:type="even" r:id="rId9"/>
      <w:headerReference w:type="default" r:id="rId10"/>
      <w:footerReference w:type="default" r:id="rId11"/>
      <w:headerReference w:type="first" r:id="rId12"/>
      <w:footerReference w:type="first" r:id="rId13"/>
      <w:pgSz w:w="11900" w:h="16840"/>
      <w:pgMar w:top="1843" w:right="1268" w:bottom="1418"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134" w:rsidRDefault="00EC4134">
      <w:r>
        <w:separator/>
      </w:r>
    </w:p>
  </w:endnote>
  <w:endnote w:type="continuationSeparator" w:id="0">
    <w:p w:rsidR="00EC4134" w:rsidRDefault="00EC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20" w:rsidRPr="000C7414" w:rsidRDefault="00E96089" w:rsidP="000C7414">
    <w:pPr>
      <w:pStyle w:val="Pta"/>
      <w:tabs>
        <w:tab w:val="clear" w:pos="4320"/>
        <w:tab w:val="clear" w:pos="8640"/>
        <w:tab w:val="right" w:pos="9064"/>
      </w:tabs>
      <w:rPr>
        <w:rFonts w:ascii="Arial" w:hAnsi="Arial" w:cs="Arial"/>
        <w:color w:val="808080"/>
        <w:sz w:val="15"/>
        <w:szCs w:val="15"/>
        <w:lang w:val="sk-SK"/>
      </w:rPr>
    </w:pPr>
    <w:r w:rsidRPr="000C7414">
      <w:rPr>
        <w:rFonts w:ascii="Arial" w:hAnsi="Arial" w:cs="Arial"/>
        <w:color w:val="00478A"/>
        <w:sz w:val="15"/>
        <w:szCs w:val="15"/>
        <w:lang w:val="sk-SK"/>
      </w:rPr>
      <w:tab/>
    </w:r>
    <w:r w:rsidRPr="000C7414">
      <w:rPr>
        <w:rFonts w:ascii="Arial" w:hAnsi="Arial" w:cs="Arial"/>
        <w:color w:val="808080"/>
        <w:sz w:val="15"/>
        <w:szCs w:val="15"/>
        <w:lang w:val="sk-SK"/>
      </w:rPr>
      <w:fldChar w:fldCharType="begin"/>
    </w:r>
    <w:r w:rsidRPr="000C7414">
      <w:rPr>
        <w:rFonts w:ascii="Arial" w:hAnsi="Arial" w:cs="Arial"/>
        <w:color w:val="808080"/>
        <w:sz w:val="15"/>
        <w:szCs w:val="15"/>
        <w:lang w:val="sk-SK"/>
      </w:rPr>
      <w:instrText xml:space="preserve"> PAGE  \* Arabic  \* MERGEFORMAT </w:instrText>
    </w:r>
    <w:r w:rsidRPr="000C7414">
      <w:rPr>
        <w:rFonts w:ascii="Arial" w:hAnsi="Arial" w:cs="Arial"/>
        <w:color w:val="808080"/>
        <w:sz w:val="15"/>
        <w:szCs w:val="15"/>
        <w:lang w:val="sk-SK"/>
      </w:rPr>
      <w:fldChar w:fldCharType="separate"/>
    </w:r>
    <w:r w:rsidR="008527B1">
      <w:rPr>
        <w:rFonts w:ascii="Arial" w:hAnsi="Arial" w:cs="Arial"/>
        <w:noProof/>
        <w:color w:val="808080"/>
        <w:sz w:val="15"/>
        <w:szCs w:val="15"/>
        <w:lang w:val="sk-SK"/>
      </w:rPr>
      <w:t>7</w:t>
    </w:r>
    <w:r w:rsidRPr="000C7414">
      <w:rPr>
        <w:rFonts w:ascii="Arial" w:hAnsi="Arial" w:cs="Arial"/>
        <w:color w:val="808080"/>
        <w:sz w:val="15"/>
        <w:szCs w:val="15"/>
        <w:lang w:val="sk-SK"/>
      </w:rPr>
      <w:fldChar w:fldCharType="end"/>
    </w:r>
    <w:r w:rsidRPr="000C7414">
      <w:rPr>
        <w:rFonts w:ascii="Arial" w:hAnsi="Arial" w:cs="Arial"/>
        <w:color w:val="808080"/>
        <w:sz w:val="15"/>
        <w:szCs w:val="15"/>
        <w:lang w:val="sk-SK"/>
      </w:rPr>
      <w:t>/</w:t>
    </w:r>
    <w:r w:rsidRPr="000C7414">
      <w:rPr>
        <w:rFonts w:ascii="Arial" w:hAnsi="Arial" w:cs="Arial"/>
        <w:color w:val="808080"/>
        <w:sz w:val="15"/>
        <w:szCs w:val="15"/>
        <w:lang w:val="sk-SK"/>
      </w:rPr>
      <w:fldChar w:fldCharType="begin"/>
    </w:r>
    <w:r w:rsidRPr="000C7414">
      <w:rPr>
        <w:rFonts w:ascii="Arial" w:hAnsi="Arial" w:cs="Arial"/>
        <w:color w:val="808080"/>
        <w:sz w:val="15"/>
        <w:szCs w:val="15"/>
        <w:lang w:val="sk-SK"/>
      </w:rPr>
      <w:instrText xml:space="preserve"> NUMPAGES   \* MERGEFORMAT </w:instrText>
    </w:r>
    <w:r w:rsidRPr="000C7414">
      <w:rPr>
        <w:rFonts w:ascii="Arial" w:hAnsi="Arial" w:cs="Arial"/>
        <w:color w:val="808080"/>
        <w:sz w:val="15"/>
        <w:szCs w:val="15"/>
        <w:lang w:val="sk-SK"/>
      </w:rPr>
      <w:fldChar w:fldCharType="separate"/>
    </w:r>
    <w:r w:rsidR="008527B1">
      <w:rPr>
        <w:rFonts w:ascii="Arial" w:hAnsi="Arial" w:cs="Arial"/>
        <w:noProof/>
        <w:color w:val="808080"/>
        <w:sz w:val="15"/>
        <w:szCs w:val="15"/>
        <w:lang w:val="sk-SK"/>
      </w:rPr>
      <w:t>7</w:t>
    </w:r>
    <w:r w:rsidRPr="000C7414">
      <w:rPr>
        <w:rFonts w:ascii="Arial" w:hAnsi="Arial" w:cs="Arial"/>
        <w:color w:val="808080"/>
        <w:sz w:val="15"/>
        <w:szCs w:val="15"/>
        <w:lang w:val="sk-SK"/>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14" w:rsidRPr="000C7414" w:rsidRDefault="00E96089" w:rsidP="000C7414">
    <w:pPr>
      <w:pStyle w:val="Pta"/>
      <w:tabs>
        <w:tab w:val="clear" w:pos="4320"/>
        <w:tab w:val="clear" w:pos="8640"/>
      </w:tabs>
      <w:rPr>
        <w:rFonts w:ascii="Arial" w:hAnsi="Arial" w:cs="Arial"/>
        <w:color w:val="00478A"/>
        <w:sz w:val="15"/>
        <w:szCs w:val="15"/>
        <w:lang w:val="sk-SK"/>
      </w:rPr>
    </w:pPr>
    <w:r w:rsidRPr="000C7414">
      <w:rPr>
        <w:rFonts w:ascii="Arial" w:hAnsi="Arial" w:cs="Arial"/>
        <w:color w:val="00478A"/>
        <w:sz w:val="15"/>
        <w:szCs w:val="15"/>
        <w:lang w:val="sk-SK"/>
      </w:rPr>
      <w:t xml:space="preserve">Bartošík Šváby s.r.o., advokátska kancelária, BBC V, blok A, Plynárenská 7/A, 821 09 Bratislava </w:t>
    </w:r>
  </w:p>
  <w:p w:rsidR="000C7414" w:rsidRPr="000C7414" w:rsidRDefault="00E96089" w:rsidP="000C7414">
    <w:pPr>
      <w:pStyle w:val="Pta"/>
      <w:tabs>
        <w:tab w:val="clear" w:pos="4320"/>
        <w:tab w:val="clear" w:pos="8640"/>
      </w:tabs>
      <w:rPr>
        <w:rFonts w:ascii="Arial" w:hAnsi="Arial" w:cs="Arial"/>
        <w:color w:val="00478A"/>
        <w:sz w:val="15"/>
        <w:szCs w:val="15"/>
        <w:lang w:val="sk-SK"/>
      </w:rPr>
    </w:pPr>
    <w:r w:rsidRPr="000C7414">
      <w:rPr>
        <w:rFonts w:ascii="Arial" w:hAnsi="Arial" w:cs="Arial"/>
        <w:color w:val="00478A"/>
        <w:sz w:val="15"/>
        <w:szCs w:val="15"/>
        <w:lang w:val="sk-SK"/>
      </w:rPr>
      <w:t>Zapísaná v Obchodnom registr</w:t>
    </w:r>
    <w:r>
      <w:rPr>
        <w:rFonts w:ascii="Arial" w:hAnsi="Arial" w:cs="Arial"/>
        <w:color w:val="00478A"/>
        <w:sz w:val="15"/>
        <w:szCs w:val="15"/>
        <w:lang w:val="sk-SK"/>
      </w:rPr>
      <w:t>i</w:t>
    </w:r>
    <w:r w:rsidRPr="000C7414">
      <w:rPr>
        <w:rFonts w:ascii="Arial" w:hAnsi="Arial" w:cs="Arial"/>
        <w:color w:val="00478A"/>
        <w:sz w:val="15"/>
        <w:szCs w:val="15"/>
        <w:lang w:val="sk-SK"/>
      </w:rPr>
      <w:t xml:space="preserve"> Okresného </w:t>
    </w:r>
    <w:r>
      <w:rPr>
        <w:rFonts w:ascii="Arial" w:hAnsi="Arial" w:cs="Arial"/>
        <w:color w:val="00478A"/>
        <w:sz w:val="15"/>
        <w:szCs w:val="15"/>
        <w:lang w:val="sk-SK"/>
      </w:rPr>
      <w:t>súdu Bratislava I</w:t>
    </w:r>
    <w:r w:rsidRPr="000C7414">
      <w:rPr>
        <w:rFonts w:ascii="Arial" w:hAnsi="Arial" w:cs="Arial"/>
        <w:color w:val="00478A"/>
        <w:sz w:val="15"/>
        <w:szCs w:val="15"/>
        <w:lang w:val="sk-SK"/>
      </w:rPr>
      <w:t>, oddiel Sro, vložka č</w:t>
    </w:r>
    <w:r>
      <w:rPr>
        <w:rFonts w:ascii="Arial" w:hAnsi="Arial" w:cs="Arial"/>
        <w:color w:val="00478A"/>
        <w:sz w:val="15"/>
        <w:szCs w:val="15"/>
        <w:lang w:val="sk-SK"/>
      </w:rPr>
      <w:t>íslo</w:t>
    </w:r>
    <w:r w:rsidRPr="000C7414">
      <w:rPr>
        <w:rFonts w:ascii="Arial" w:hAnsi="Arial" w:cs="Arial"/>
        <w:color w:val="00478A"/>
        <w:sz w:val="15"/>
        <w:szCs w:val="15"/>
        <w:lang w:val="sk-SK"/>
      </w:rPr>
      <w:t xml:space="preserve"> 35531/B, IČO 35 929 049</w:t>
    </w:r>
  </w:p>
  <w:p w:rsidR="000C7414" w:rsidRPr="000C7414" w:rsidRDefault="00E96089" w:rsidP="000C7414">
    <w:pPr>
      <w:pStyle w:val="Pta"/>
      <w:tabs>
        <w:tab w:val="clear" w:pos="4320"/>
        <w:tab w:val="clear" w:pos="8640"/>
        <w:tab w:val="right" w:pos="9072"/>
      </w:tabs>
      <w:rPr>
        <w:rFonts w:ascii="Arial" w:hAnsi="Arial" w:cs="Arial"/>
        <w:color w:val="00478A"/>
        <w:sz w:val="15"/>
        <w:szCs w:val="15"/>
        <w:lang w:val="sk-SK"/>
      </w:rPr>
    </w:pPr>
    <w:r w:rsidRPr="000C7414">
      <w:rPr>
        <w:rFonts w:ascii="Arial" w:hAnsi="Arial" w:cs="Arial"/>
        <w:color w:val="00478A"/>
        <w:sz w:val="15"/>
        <w:szCs w:val="15"/>
        <w:lang w:val="sk-SK"/>
      </w:rPr>
      <w:t>T +421 2</w:t>
    </w:r>
    <w:r>
      <w:rPr>
        <w:rFonts w:ascii="Arial" w:hAnsi="Arial" w:cs="Arial"/>
        <w:color w:val="00478A"/>
        <w:sz w:val="15"/>
        <w:szCs w:val="15"/>
        <w:lang w:val="sk-SK"/>
      </w:rPr>
      <w:t xml:space="preserve"> </w:t>
    </w:r>
    <w:r w:rsidRPr="000C7414">
      <w:rPr>
        <w:rFonts w:ascii="Arial" w:hAnsi="Arial" w:cs="Arial"/>
        <w:color w:val="00478A"/>
        <w:sz w:val="15"/>
        <w:szCs w:val="15"/>
        <w:lang w:val="sk-SK"/>
      </w:rPr>
      <w:t>52 442 181, F +421 2</w:t>
    </w:r>
    <w:r>
      <w:rPr>
        <w:rFonts w:ascii="Arial" w:hAnsi="Arial" w:cs="Arial"/>
        <w:color w:val="00478A"/>
        <w:sz w:val="15"/>
        <w:szCs w:val="15"/>
        <w:lang w:val="sk-SK"/>
      </w:rPr>
      <w:t xml:space="preserve"> </w:t>
    </w:r>
    <w:r w:rsidRPr="000C7414">
      <w:rPr>
        <w:rFonts w:ascii="Arial" w:hAnsi="Arial" w:cs="Arial"/>
        <w:color w:val="00478A"/>
        <w:sz w:val="15"/>
        <w:szCs w:val="15"/>
        <w:lang w:val="sk-SK"/>
      </w:rPr>
      <w:t xml:space="preserve">52 442 182, </w:t>
    </w:r>
    <w:hyperlink r:id="rId1" w:history="1">
      <w:r w:rsidR="004F6B5E" w:rsidRPr="002C75BD">
        <w:rPr>
          <w:rStyle w:val="Hypertextovprepojenie"/>
          <w:rFonts w:ascii="Arial" w:hAnsi="Arial" w:cs="Arial"/>
          <w:sz w:val="15"/>
          <w:szCs w:val="15"/>
          <w:lang w:val="sk-SK"/>
        </w:rPr>
        <w:t>office@bartosiksvaby.sk</w:t>
      </w:r>
    </w:hyperlink>
    <w:r w:rsidR="004F6B5E">
      <w:rPr>
        <w:rFonts w:ascii="Arial" w:hAnsi="Arial" w:cs="Arial"/>
        <w:color w:val="00478A"/>
        <w:sz w:val="15"/>
        <w:szCs w:val="15"/>
        <w:lang w:val="sk-SK"/>
      </w:rPr>
      <w:t xml:space="preserve"> </w:t>
    </w:r>
    <w:r w:rsidRPr="000C7414">
      <w:rPr>
        <w:rFonts w:ascii="Arial" w:hAnsi="Arial" w:cs="Arial"/>
        <w:color w:val="00478A"/>
        <w:sz w:val="15"/>
        <w:szCs w:val="15"/>
        <w:lang w:val="sk-SK"/>
      </w:rPr>
      <w:tab/>
    </w:r>
    <w:proofErr w:type="spellStart"/>
    <w:r w:rsidRPr="000C7414">
      <w:rPr>
        <w:rFonts w:ascii="Arial" w:hAnsi="Arial" w:cs="Arial"/>
        <w:color w:val="00478A"/>
        <w:sz w:val="15"/>
        <w:szCs w:val="15"/>
        <w:lang w:val="sk-SK"/>
      </w:rPr>
      <w:t>www.bartosiksvaby.sk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134" w:rsidRDefault="00EC4134">
      <w:r>
        <w:separator/>
      </w:r>
    </w:p>
  </w:footnote>
  <w:footnote w:type="continuationSeparator" w:id="0">
    <w:p w:rsidR="00EC4134" w:rsidRDefault="00EC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20" w:rsidRDefault="00E96089" w:rsidP="006931F6">
    <w:pPr>
      <w:pStyle w:val="Hlavika"/>
      <w:tabs>
        <w:tab w:val="clear" w:pos="4320"/>
        <w:tab w:val="clear" w:pos="8640"/>
        <w:tab w:val="center" w:pos="4960"/>
        <w:tab w:val="right" w:pos="9921"/>
      </w:tabs>
    </w:pPr>
    <w:r>
      <w:t>[Type text]</w:t>
    </w:r>
    <w:r>
      <w:tab/>
      <w:t>[Type text]</w:t>
    </w:r>
    <w:r>
      <w:tab/>
      <w:t>[Type text]</w:t>
    </w:r>
  </w:p>
  <w:p w:rsidR="00CA7F20" w:rsidRDefault="00EC413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20" w:rsidRPr="000C7414" w:rsidRDefault="00EC4134" w:rsidP="000C7414">
    <w:pPr>
      <w:pStyle w:val="Hlavika"/>
      <w:tabs>
        <w:tab w:val="clear" w:pos="4320"/>
        <w:tab w:val="clear" w:pos="8640"/>
      </w:tabs>
      <w:rPr>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414" w:rsidRDefault="00E96089" w:rsidP="000C7414">
    <w:pPr>
      <w:pStyle w:val="Hlavika"/>
      <w:tabs>
        <w:tab w:val="clear" w:pos="4320"/>
      </w:tabs>
    </w:pPr>
    <w:r>
      <w:rPr>
        <w:noProof/>
        <w:lang w:val="sk-SK" w:eastAsia="sk-SK"/>
      </w:rPr>
      <w:drawing>
        <wp:anchor distT="0" distB="0" distL="114300" distR="114300" simplePos="0" relativeHeight="251659264" behindDoc="1" locked="0" layoutInCell="1" allowOverlap="1" wp14:anchorId="286A7DEC" wp14:editId="186D8FB8">
          <wp:simplePos x="0" y="0"/>
          <wp:positionH relativeFrom="page">
            <wp:posOffset>2694940</wp:posOffset>
          </wp:positionH>
          <wp:positionV relativeFrom="page">
            <wp:posOffset>507365</wp:posOffset>
          </wp:positionV>
          <wp:extent cx="2167255" cy="375285"/>
          <wp:effectExtent l="0" t="0" r="4445" b="5715"/>
          <wp:wrapThrough wrapText="bothSides">
            <wp:wrapPolygon edited="0">
              <wp:start x="0" y="0"/>
              <wp:lineTo x="0" y="20832"/>
              <wp:lineTo x="21454" y="20832"/>
              <wp:lineTo x="21454" y="0"/>
              <wp:lineTo x="0" y="0"/>
            </wp:wrapPolygon>
          </wp:wrapThrough>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55" cy="375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2F1E"/>
    <w:multiLevelType w:val="hybridMultilevel"/>
    <w:tmpl w:val="3DA0A836"/>
    <w:lvl w:ilvl="0" w:tplc="A89ABF16">
      <w:start w:val="821"/>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4352D77"/>
    <w:multiLevelType w:val="hybridMultilevel"/>
    <w:tmpl w:val="BEEE6118"/>
    <w:lvl w:ilvl="0" w:tplc="6096C5F0">
      <w:start w:val="1"/>
      <w:numFmt w:val="decimal"/>
      <w:lvlText w:val="%1."/>
      <w:lvlJc w:val="left"/>
      <w:pPr>
        <w:ind w:left="1800" w:hanging="360"/>
      </w:pPr>
      <w:rPr>
        <w:b w:val="0"/>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nsid w:val="2BC305C9"/>
    <w:multiLevelType w:val="hybridMultilevel"/>
    <w:tmpl w:val="1D62AC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BDE2940"/>
    <w:multiLevelType w:val="hybridMultilevel"/>
    <w:tmpl w:val="7134589A"/>
    <w:lvl w:ilvl="0" w:tplc="0E18F2D6">
      <w:start w:val="81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59A1428"/>
    <w:multiLevelType w:val="hybridMultilevel"/>
    <w:tmpl w:val="2864F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E755B6"/>
    <w:multiLevelType w:val="hybridMultilevel"/>
    <w:tmpl w:val="2864F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636D03"/>
    <w:multiLevelType w:val="hybridMultilevel"/>
    <w:tmpl w:val="020E3A5C"/>
    <w:lvl w:ilvl="0" w:tplc="B964B762">
      <w:start w:val="1"/>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C7B0B95"/>
    <w:multiLevelType w:val="hybridMultilevel"/>
    <w:tmpl w:val="E60CFDBA"/>
    <w:lvl w:ilvl="0" w:tplc="FA3C914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F863906"/>
    <w:multiLevelType w:val="hybridMultilevel"/>
    <w:tmpl w:val="33BC0076"/>
    <w:lvl w:ilvl="0" w:tplc="ED241198">
      <w:start w:val="811"/>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0F7020F"/>
    <w:multiLevelType w:val="hybridMultilevel"/>
    <w:tmpl w:val="8FCE531A"/>
    <w:lvl w:ilvl="0" w:tplc="F1C81C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D2E1509"/>
    <w:multiLevelType w:val="hybridMultilevel"/>
    <w:tmpl w:val="55B6BE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186788"/>
    <w:multiLevelType w:val="hybridMultilevel"/>
    <w:tmpl w:val="009CA6FA"/>
    <w:lvl w:ilvl="0" w:tplc="39D2A4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4A7497E"/>
    <w:multiLevelType w:val="hybridMultilevel"/>
    <w:tmpl w:val="CC961832"/>
    <w:lvl w:ilvl="0" w:tplc="759440AA">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572E64"/>
    <w:multiLevelType w:val="hybridMultilevel"/>
    <w:tmpl w:val="D4B22A4C"/>
    <w:lvl w:ilvl="0" w:tplc="A0487C66">
      <w:start w:val="1"/>
      <w:numFmt w:val="upperRoman"/>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57F22891"/>
    <w:multiLevelType w:val="hybridMultilevel"/>
    <w:tmpl w:val="2864F66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A85F04"/>
    <w:multiLevelType w:val="hybridMultilevel"/>
    <w:tmpl w:val="06C4D480"/>
    <w:lvl w:ilvl="0" w:tplc="E432F240">
      <w:start w:val="811"/>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5F6150"/>
    <w:multiLevelType w:val="hybridMultilevel"/>
    <w:tmpl w:val="DFE26E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A0F5D83"/>
    <w:multiLevelType w:val="hybridMultilevel"/>
    <w:tmpl w:val="F01C2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9"/>
  </w:num>
  <w:num w:numId="5">
    <w:abstractNumId w:val="11"/>
  </w:num>
  <w:num w:numId="6">
    <w:abstractNumId w:val="1"/>
  </w:num>
  <w:num w:numId="7">
    <w:abstractNumId w:val="0"/>
  </w:num>
  <w:num w:numId="8">
    <w:abstractNumId w:val="15"/>
  </w:num>
  <w:num w:numId="9">
    <w:abstractNumId w:val="17"/>
  </w:num>
  <w:num w:numId="10">
    <w:abstractNumId w:val="8"/>
  </w:num>
  <w:num w:numId="11">
    <w:abstractNumId w:val="2"/>
  </w:num>
  <w:num w:numId="12">
    <w:abstractNumId w:val="16"/>
  </w:num>
  <w:num w:numId="13">
    <w:abstractNumId w:val="6"/>
  </w:num>
  <w:num w:numId="14">
    <w:abstractNumId w:val="13"/>
  </w:num>
  <w:num w:numId="15">
    <w:abstractNumId w:val="14"/>
  </w:num>
  <w:num w:numId="16">
    <w:abstractNumId w:val="4"/>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F1"/>
    <w:rsid w:val="000209AB"/>
    <w:rsid w:val="00031442"/>
    <w:rsid w:val="000446E0"/>
    <w:rsid w:val="00054169"/>
    <w:rsid w:val="00085B2F"/>
    <w:rsid w:val="00093F0C"/>
    <w:rsid w:val="001048D4"/>
    <w:rsid w:val="00114CED"/>
    <w:rsid w:val="00127CCC"/>
    <w:rsid w:val="001463F4"/>
    <w:rsid w:val="001C3DE1"/>
    <w:rsid w:val="001C5D20"/>
    <w:rsid w:val="001D0D1A"/>
    <w:rsid w:val="001D11B0"/>
    <w:rsid w:val="001F31B1"/>
    <w:rsid w:val="00203596"/>
    <w:rsid w:val="00262E81"/>
    <w:rsid w:val="00273343"/>
    <w:rsid w:val="002742B9"/>
    <w:rsid w:val="00283B89"/>
    <w:rsid w:val="002976B7"/>
    <w:rsid w:val="00303E7C"/>
    <w:rsid w:val="003B01DA"/>
    <w:rsid w:val="003D616F"/>
    <w:rsid w:val="00402002"/>
    <w:rsid w:val="004050D6"/>
    <w:rsid w:val="00421D58"/>
    <w:rsid w:val="00442344"/>
    <w:rsid w:val="004761BA"/>
    <w:rsid w:val="004A6306"/>
    <w:rsid w:val="004A7D1D"/>
    <w:rsid w:val="004D33BB"/>
    <w:rsid w:val="004D4026"/>
    <w:rsid w:val="004F6B5E"/>
    <w:rsid w:val="00513937"/>
    <w:rsid w:val="005431ED"/>
    <w:rsid w:val="00552A6E"/>
    <w:rsid w:val="005608D9"/>
    <w:rsid w:val="005A1621"/>
    <w:rsid w:val="005C7D3A"/>
    <w:rsid w:val="0060089E"/>
    <w:rsid w:val="00641F4D"/>
    <w:rsid w:val="00644BEE"/>
    <w:rsid w:val="00651819"/>
    <w:rsid w:val="0068297F"/>
    <w:rsid w:val="006872CF"/>
    <w:rsid w:val="006A5ACB"/>
    <w:rsid w:val="006C5D64"/>
    <w:rsid w:val="006D0A75"/>
    <w:rsid w:val="006D65D5"/>
    <w:rsid w:val="00712A95"/>
    <w:rsid w:val="007171FD"/>
    <w:rsid w:val="00730B1F"/>
    <w:rsid w:val="007A7B22"/>
    <w:rsid w:val="007C67D9"/>
    <w:rsid w:val="007E51F5"/>
    <w:rsid w:val="007E7D1A"/>
    <w:rsid w:val="007F1E3E"/>
    <w:rsid w:val="00836ABB"/>
    <w:rsid w:val="008527B1"/>
    <w:rsid w:val="00863073"/>
    <w:rsid w:val="008775DD"/>
    <w:rsid w:val="008C36F0"/>
    <w:rsid w:val="008C45DB"/>
    <w:rsid w:val="008C7814"/>
    <w:rsid w:val="009020EA"/>
    <w:rsid w:val="0092237D"/>
    <w:rsid w:val="00931E7D"/>
    <w:rsid w:val="00940BE7"/>
    <w:rsid w:val="00970CFA"/>
    <w:rsid w:val="00970D6F"/>
    <w:rsid w:val="0098731D"/>
    <w:rsid w:val="00994DDF"/>
    <w:rsid w:val="00997231"/>
    <w:rsid w:val="009E39F3"/>
    <w:rsid w:val="009E5612"/>
    <w:rsid w:val="00A11EA2"/>
    <w:rsid w:val="00A21C0B"/>
    <w:rsid w:val="00A315EB"/>
    <w:rsid w:val="00A4223C"/>
    <w:rsid w:val="00A44174"/>
    <w:rsid w:val="00AA1180"/>
    <w:rsid w:val="00AA714E"/>
    <w:rsid w:val="00AC6B47"/>
    <w:rsid w:val="00AE057F"/>
    <w:rsid w:val="00AE1B54"/>
    <w:rsid w:val="00AE6393"/>
    <w:rsid w:val="00AF14E4"/>
    <w:rsid w:val="00AF6CBC"/>
    <w:rsid w:val="00B159CE"/>
    <w:rsid w:val="00B3179B"/>
    <w:rsid w:val="00B61651"/>
    <w:rsid w:val="00B62123"/>
    <w:rsid w:val="00B72BA7"/>
    <w:rsid w:val="00B77317"/>
    <w:rsid w:val="00B84252"/>
    <w:rsid w:val="00BA7E0F"/>
    <w:rsid w:val="00BD79E3"/>
    <w:rsid w:val="00BE44E8"/>
    <w:rsid w:val="00C02677"/>
    <w:rsid w:val="00C20B7E"/>
    <w:rsid w:val="00C329E1"/>
    <w:rsid w:val="00C575AE"/>
    <w:rsid w:val="00C63ED5"/>
    <w:rsid w:val="00CC6D86"/>
    <w:rsid w:val="00CD2EED"/>
    <w:rsid w:val="00CD592A"/>
    <w:rsid w:val="00CD75E4"/>
    <w:rsid w:val="00CE666D"/>
    <w:rsid w:val="00D01ADF"/>
    <w:rsid w:val="00D87416"/>
    <w:rsid w:val="00DA7DF1"/>
    <w:rsid w:val="00DF6E7B"/>
    <w:rsid w:val="00E221C1"/>
    <w:rsid w:val="00E27F69"/>
    <w:rsid w:val="00E739A5"/>
    <w:rsid w:val="00E8495B"/>
    <w:rsid w:val="00E9066F"/>
    <w:rsid w:val="00E96089"/>
    <w:rsid w:val="00E96754"/>
    <w:rsid w:val="00EC4134"/>
    <w:rsid w:val="00ED42D1"/>
    <w:rsid w:val="00EE6451"/>
    <w:rsid w:val="00FB5AE2"/>
    <w:rsid w:val="00FC26F7"/>
    <w:rsid w:val="00FD44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7DF1"/>
    <w:pPr>
      <w:spacing w:after="0" w:line="240" w:lineRule="auto"/>
    </w:pPr>
    <w:rPr>
      <w:rFonts w:ascii="Cambria" w:eastAsia="MS Mincho" w:hAnsi="Cambria"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DF1"/>
    <w:pPr>
      <w:tabs>
        <w:tab w:val="center" w:pos="4320"/>
        <w:tab w:val="right" w:pos="8640"/>
      </w:tabs>
    </w:pPr>
  </w:style>
  <w:style w:type="character" w:customStyle="1" w:styleId="HlavikaChar">
    <w:name w:val="Hlavička Char"/>
    <w:basedOn w:val="Predvolenpsmoodseku"/>
    <w:link w:val="Hlavika"/>
    <w:uiPriority w:val="99"/>
    <w:rsid w:val="00DA7DF1"/>
    <w:rPr>
      <w:rFonts w:ascii="Cambria" w:eastAsia="MS Mincho" w:hAnsi="Cambria" w:cs="Times New Roman"/>
      <w:sz w:val="24"/>
      <w:szCs w:val="24"/>
      <w:lang w:val="en-US"/>
    </w:rPr>
  </w:style>
  <w:style w:type="paragraph" w:styleId="Pta">
    <w:name w:val="footer"/>
    <w:basedOn w:val="Normlny"/>
    <w:link w:val="PtaChar"/>
    <w:uiPriority w:val="99"/>
    <w:unhideWhenUsed/>
    <w:rsid w:val="00DA7DF1"/>
    <w:pPr>
      <w:tabs>
        <w:tab w:val="center" w:pos="4320"/>
        <w:tab w:val="right" w:pos="8640"/>
      </w:tabs>
    </w:pPr>
  </w:style>
  <w:style w:type="character" w:customStyle="1" w:styleId="PtaChar">
    <w:name w:val="Päta Char"/>
    <w:basedOn w:val="Predvolenpsmoodseku"/>
    <w:link w:val="Pta"/>
    <w:uiPriority w:val="99"/>
    <w:rsid w:val="00DA7DF1"/>
    <w:rPr>
      <w:rFonts w:ascii="Cambria" w:eastAsia="MS Mincho" w:hAnsi="Cambria" w:cs="Times New Roman"/>
      <w:sz w:val="24"/>
      <w:szCs w:val="24"/>
      <w:lang w:val="en-US"/>
    </w:rPr>
  </w:style>
  <w:style w:type="paragraph" w:styleId="Odsekzoznamu">
    <w:name w:val="List Paragraph"/>
    <w:basedOn w:val="Normlny"/>
    <w:uiPriority w:val="34"/>
    <w:qFormat/>
    <w:rsid w:val="00DA7DF1"/>
    <w:pPr>
      <w:ind w:left="720"/>
      <w:contextualSpacing/>
    </w:pPr>
  </w:style>
  <w:style w:type="paragraph" w:styleId="Textbubliny">
    <w:name w:val="Balloon Text"/>
    <w:basedOn w:val="Normlny"/>
    <w:link w:val="TextbublinyChar"/>
    <w:uiPriority w:val="99"/>
    <w:semiHidden/>
    <w:unhideWhenUsed/>
    <w:rsid w:val="00ED42D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42D1"/>
    <w:rPr>
      <w:rFonts w:ascii="Segoe UI" w:eastAsia="MS Mincho" w:hAnsi="Segoe UI" w:cs="Segoe UI"/>
      <w:sz w:val="18"/>
      <w:szCs w:val="18"/>
      <w:lang w:val="en-US"/>
    </w:rPr>
  </w:style>
  <w:style w:type="character" w:styleId="Hypertextovprepojenie">
    <w:name w:val="Hyperlink"/>
    <w:basedOn w:val="Predvolenpsmoodseku"/>
    <w:uiPriority w:val="99"/>
    <w:unhideWhenUsed/>
    <w:rsid w:val="005A16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7DF1"/>
    <w:pPr>
      <w:spacing w:after="0" w:line="240" w:lineRule="auto"/>
    </w:pPr>
    <w:rPr>
      <w:rFonts w:ascii="Cambria" w:eastAsia="MS Mincho" w:hAnsi="Cambria" w:cs="Times New Roman"/>
      <w:sz w:val="24"/>
      <w:szCs w:val="24"/>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7DF1"/>
    <w:pPr>
      <w:tabs>
        <w:tab w:val="center" w:pos="4320"/>
        <w:tab w:val="right" w:pos="8640"/>
      </w:tabs>
    </w:pPr>
  </w:style>
  <w:style w:type="character" w:customStyle="1" w:styleId="HlavikaChar">
    <w:name w:val="Hlavička Char"/>
    <w:basedOn w:val="Predvolenpsmoodseku"/>
    <w:link w:val="Hlavika"/>
    <w:uiPriority w:val="99"/>
    <w:rsid w:val="00DA7DF1"/>
    <w:rPr>
      <w:rFonts w:ascii="Cambria" w:eastAsia="MS Mincho" w:hAnsi="Cambria" w:cs="Times New Roman"/>
      <w:sz w:val="24"/>
      <w:szCs w:val="24"/>
      <w:lang w:val="en-US"/>
    </w:rPr>
  </w:style>
  <w:style w:type="paragraph" w:styleId="Pta">
    <w:name w:val="footer"/>
    <w:basedOn w:val="Normlny"/>
    <w:link w:val="PtaChar"/>
    <w:uiPriority w:val="99"/>
    <w:unhideWhenUsed/>
    <w:rsid w:val="00DA7DF1"/>
    <w:pPr>
      <w:tabs>
        <w:tab w:val="center" w:pos="4320"/>
        <w:tab w:val="right" w:pos="8640"/>
      </w:tabs>
    </w:pPr>
  </w:style>
  <w:style w:type="character" w:customStyle="1" w:styleId="PtaChar">
    <w:name w:val="Päta Char"/>
    <w:basedOn w:val="Predvolenpsmoodseku"/>
    <w:link w:val="Pta"/>
    <w:uiPriority w:val="99"/>
    <w:rsid w:val="00DA7DF1"/>
    <w:rPr>
      <w:rFonts w:ascii="Cambria" w:eastAsia="MS Mincho" w:hAnsi="Cambria" w:cs="Times New Roman"/>
      <w:sz w:val="24"/>
      <w:szCs w:val="24"/>
      <w:lang w:val="en-US"/>
    </w:rPr>
  </w:style>
  <w:style w:type="paragraph" w:styleId="Odsekzoznamu">
    <w:name w:val="List Paragraph"/>
    <w:basedOn w:val="Normlny"/>
    <w:uiPriority w:val="34"/>
    <w:qFormat/>
    <w:rsid w:val="00DA7DF1"/>
    <w:pPr>
      <w:ind w:left="720"/>
      <w:contextualSpacing/>
    </w:pPr>
  </w:style>
  <w:style w:type="paragraph" w:styleId="Textbubliny">
    <w:name w:val="Balloon Text"/>
    <w:basedOn w:val="Normlny"/>
    <w:link w:val="TextbublinyChar"/>
    <w:uiPriority w:val="99"/>
    <w:semiHidden/>
    <w:unhideWhenUsed/>
    <w:rsid w:val="00ED42D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42D1"/>
    <w:rPr>
      <w:rFonts w:ascii="Segoe UI" w:eastAsia="MS Mincho" w:hAnsi="Segoe UI" w:cs="Segoe UI"/>
      <w:sz w:val="18"/>
      <w:szCs w:val="18"/>
      <w:lang w:val="en-US"/>
    </w:rPr>
  </w:style>
  <w:style w:type="character" w:styleId="Hypertextovprepojenie">
    <w:name w:val="Hyperlink"/>
    <w:basedOn w:val="Predvolenpsmoodseku"/>
    <w:uiPriority w:val="99"/>
    <w:unhideWhenUsed/>
    <w:rsid w:val="005A1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39509">
      <w:bodyDiv w:val="1"/>
      <w:marLeft w:val="0"/>
      <w:marRight w:val="0"/>
      <w:marTop w:val="0"/>
      <w:marBottom w:val="0"/>
      <w:divBdr>
        <w:top w:val="none" w:sz="0" w:space="0" w:color="auto"/>
        <w:left w:val="none" w:sz="0" w:space="0" w:color="auto"/>
        <w:bottom w:val="none" w:sz="0" w:space="0" w:color="auto"/>
        <w:right w:val="none" w:sz="0" w:space="0" w:color="auto"/>
      </w:divBdr>
    </w:div>
    <w:div w:id="1472821530">
      <w:bodyDiv w:val="1"/>
      <w:marLeft w:val="0"/>
      <w:marRight w:val="0"/>
      <w:marTop w:val="0"/>
      <w:marBottom w:val="0"/>
      <w:divBdr>
        <w:top w:val="none" w:sz="0" w:space="0" w:color="auto"/>
        <w:left w:val="none" w:sz="0" w:space="0" w:color="auto"/>
        <w:bottom w:val="none" w:sz="0" w:space="0" w:color="auto"/>
        <w:right w:val="none" w:sz="0" w:space="0" w:color="auto"/>
      </w:divBdr>
    </w:div>
    <w:div w:id="1476335054">
      <w:bodyDiv w:val="1"/>
      <w:marLeft w:val="0"/>
      <w:marRight w:val="0"/>
      <w:marTop w:val="0"/>
      <w:marBottom w:val="0"/>
      <w:divBdr>
        <w:top w:val="none" w:sz="0" w:space="0" w:color="auto"/>
        <w:left w:val="none" w:sz="0" w:space="0" w:color="auto"/>
        <w:bottom w:val="none" w:sz="0" w:space="0" w:color="auto"/>
        <w:right w:val="none" w:sz="0" w:space="0" w:color="auto"/>
      </w:divBdr>
    </w:div>
    <w:div w:id="1641377076">
      <w:bodyDiv w:val="1"/>
      <w:marLeft w:val="0"/>
      <w:marRight w:val="0"/>
      <w:marTop w:val="0"/>
      <w:marBottom w:val="0"/>
      <w:divBdr>
        <w:top w:val="none" w:sz="0" w:space="0" w:color="auto"/>
        <w:left w:val="none" w:sz="0" w:space="0" w:color="auto"/>
        <w:bottom w:val="none" w:sz="0" w:space="0" w:color="auto"/>
        <w:right w:val="none" w:sz="0" w:space="0" w:color="auto"/>
      </w:divBdr>
    </w:div>
    <w:div w:id="20149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bartosiksvaby.s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A920-95AF-435F-BC17-A8D7EBC7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3245</Words>
  <Characters>18497</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Mančáková</dc:creator>
  <cp:lastModifiedBy>Michaela Majchráková</cp:lastModifiedBy>
  <cp:revision>4</cp:revision>
  <cp:lastPrinted>2018-11-14T09:20:00Z</cp:lastPrinted>
  <dcterms:created xsi:type="dcterms:W3CDTF">2020-05-21T12:49:00Z</dcterms:created>
  <dcterms:modified xsi:type="dcterms:W3CDTF">2020-05-21T12:53:00Z</dcterms:modified>
</cp:coreProperties>
</file>